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49" w:rsidRDefault="00027549" w:rsidP="0002754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027549" w:rsidRDefault="00EB52F2" w:rsidP="00027549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КИМРСКОГО ОКРУГА</w:t>
      </w:r>
    </w:p>
    <w:p w:rsidR="00027549" w:rsidRDefault="00027549" w:rsidP="00027549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/>
      </w:tblPr>
      <w:tblGrid>
        <w:gridCol w:w="3108"/>
        <w:gridCol w:w="3108"/>
        <w:gridCol w:w="504"/>
        <w:gridCol w:w="2604"/>
      </w:tblGrid>
      <w:tr w:rsidR="00027549" w:rsidTr="006E164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7549" w:rsidRPr="00F839EF" w:rsidRDefault="00EB52F2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E1AC8">
              <w:rPr>
                <w:color w:val="000000"/>
                <w:sz w:val="28"/>
                <w:szCs w:val="28"/>
              </w:rPr>
              <w:t xml:space="preserve">9 </w:t>
            </w:r>
            <w:r w:rsidR="001E6E37">
              <w:rPr>
                <w:color w:val="000000"/>
                <w:sz w:val="28"/>
                <w:szCs w:val="28"/>
              </w:rPr>
              <w:t>июня 2026</w:t>
            </w:r>
            <w:r w:rsidR="00027549" w:rsidRPr="00EE65ED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027549" w:rsidRPr="00F839EF" w:rsidRDefault="00027549" w:rsidP="006E1640">
            <w:pPr>
              <w:widowControl w:val="0"/>
              <w:spacing w:line="276" w:lineRule="auto"/>
              <w:jc w:val="right"/>
              <w:rPr>
                <w:b/>
                <w:color w:val="000000"/>
                <w:sz w:val="28"/>
                <w:highlight w:val="yellow"/>
              </w:rPr>
            </w:pPr>
          </w:p>
        </w:tc>
        <w:tc>
          <w:tcPr>
            <w:tcW w:w="504" w:type="dxa"/>
            <w:vAlign w:val="bottom"/>
            <w:hideMark/>
          </w:tcPr>
          <w:p w:rsidR="00027549" w:rsidRPr="004F068D" w:rsidRDefault="00027549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</w:rPr>
            </w:pPr>
            <w:r w:rsidRPr="004F068D"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7549" w:rsidRPr="004F068D" w:rsidRDefault="00EB52F2" w:rsidP="00EB52F2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27549" w:rsidRPr="004F068D">
              <w:rPr>
                <w:color w:val="000000"/>
                <w:sz w:val="28"/>
                <w:szCs w:val="28"/>
              </w:rPr>
              <w:t>/</w:t>
            </w:r>
            <w:r w:rsidR="0055427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="001E6E37">
              <w:rPr>
                <w:color w:val="000000"/>
                <w:sz w:val="28"/>
                <w:szCs w:val="28"/>
              </w:rPr>
              <w:t>-6</w:t>
            </w:r>
          </w:p>
        </w:tc>
      </w:tr>
      <w:tr w:rsidR="00027549" w:rsidTr="006E164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7549" w:rsidRDefault="00027549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3107" w:type="dxa"/>
            <w:vAlign w:val="bottom"/>
            <w:hideMark/>
          </w:tcPr>
          <w:p w:rsidR="00027549" w:rsidRDefault="00CF0A6E" w:rsidP="00EB52F2">
            <w:pPr>
              <w:widowControl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="00EB52F2">
              <w:rPr>
                <w:color w:val="000000"/>
                <w:sz w:val="26"/>
                <w:szCs w:val="26"/>
              </w:rPr>
              <w:t>ород Кимры</w:t>
            </w:r>
          </w:p>
        </w:tc>
        <w:tc>
          <w:tcPr>
            <w:tcW w:w="3107" w:type="dxa"/>
            <w:gridSpan w:val="2"/>
            <w:vAlign w:val="bottom"/>
          </w:tcPr>
          <w:p w:rsidR="00027549" w:rsidRDefault="00027549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</w:rPr>
            </w:pPr>
          </w:p>
        </w:tc>
      </w:tr>
    </w:tbl>
    <w:p w:rsidR="00EE65ED" w:rsidRDefault="00EE65ED" w:rsidP="00EE65ED">
      <w:pPr>
        <w:rPr>
          <w:b/>
          <w:bCs/>
          <w:sz w:val="28"/>
          <w:szCs w:val="28"/>
        </w:rPr>
      </w:pPr>
    </w:p>
    <w:p w:rsidR="00CC4580" w:rsidRPr="003336BD" w:rsidRDefault="00CC4580" w:rsidP="00CC4580">
      <w:pPr>
        <w:pStyle w:val="a3"/>
        <w:spacing w:before="240" w:after="360"/>
        <w:rPr>
          <w:bCs w:val="0"/>
          <w:sz w:val="28"/>
          <w:szCs w:val="28"/>
        </w:rPr>
      </w:pPr>
      <w:r w:rsidRPr="003336BD">
        <w:rPr>
          <w:bCs w:val="0"/>
          <w:sz w:val="28"/>
          <w:szCs w:val="28"/>
        </w:rPr>
        <w:t xml:space="preserve">О дополнительном офисе ПАО Сбербанк, уполномоченном на открытие и ведение специальных избирательных счетов кандидатов при проведении </w:t>
      </w:r>
      <w:proofErr w:type="gramStart"/>
      <w:r w:rsidRPr="003336BD">
        <w:rPr>
          <w:bCs w:val="0"/>
          <w:sz w:val="28"/>
          <w:szCs w:val="28"/>
        </w:rPr>
        <w:t>выборов депутатов Законодательного Со</w:t>
      </w:r>
      <w:r w:rsidR="001E6E37" w:rsidRPr="003336BD">
        <w:rPr>
          <w:bCs w:val="0"/>
          <w:sz w:val="28"/>
          <w:szCs w:val="28"/>
        </w:rPr>
        <w:t>брания Тверской области восьмого</w:t>
      </w:r>
      <w:r w:rsidRPr="003336BD">
        <w:rPr>
          <w:bCs w:val="0"/>
          <w:sz w:val="28"/>
          <w:szCs w:val="28"/>
        </w:rPr>
        <w:t xml:space="preserve"> созыва</w:t>
      </w:r>
      <w:proofErr w:type="gramEnd"/>
    </w:p>
    <w:p w:rsidR="00CC4580" w:rsidRPr="003336BD" w:rsidRDefault="00CC4580" w:rsidP="00CC4580">
      <w:pPr>
        <w:spacing w:line="360" w:lineRule="auto"/>
        <w:ind w:firstLine="680"/>
        <w:jc w:val="both"/>
        <w:rPr>
          <w:sz w:val="28"/>
          <w:szCs w:val="28"/>
        </w:rPr>
      </w:pPr>
      <w:r w:rsidRPr="003336BD">
        <w:rPr>
          <w:sz w:val="28"/>
          <w:szCs w:val="28"/>
        </w:rPr>
        <w:t>На основании пунктов 1, 13 статьи 54 Избирательного кодекса Тверской области от 07.04.2003 № 20-ЗО, в соответствии с постановлениями избирательной</w:t>
      </w:r>
      <w:r w:rsidR="001E6E37" w:rsidRPr="003336BD">
        <w:rPr>
          <w:sz w:val="28"/>
          <w:szCs w:val="28"/>
        </w:rPr>
        <w:t xml:space="preserve"> комиссии Тверской области от 04.05.2026 года № </w:t>
      </w:r>
      <w:r w:rsidR="00EB52F2" w:rsidRPr="003336BD">
        <w:rPr>
          <w:sz w:val="28"/>
          <w:szCs w:val="28"/>
        </w:rPr>
        <w:t>191/2375-7</w:t>
      </w:r>
      <w:r w:rsidR="00EB52F2" w:rsidRPr="003336BD">
        <w:rPr>
          <w:b/>
          <w:sz w:val="28"/>
          <w:szCs w:val="28"/>
        </w:rPr>
        <w:t xml:space="preserve"> </w:t>
      </w:r>
      <w:r w:rsidRPr="003336BD">
        <w:rPr>
          <w:sz w:val="28"/>
          <w:szCs w:val="28"/>
        </w:rPr>
        <w:t xml:space="preserve">«О возложении полномочий окружных избирательных комиссий </w:t>
      </w:r>
      <w:r w:rsidR="00EB52F2" w:rsidRPr="003336BD">
        <w:rPr>
          <w:sz w:val="28"/>
          <w:szCs w:val="28"/>
        </w:rPr>
        <w:t>Кимрского</w:t>
      </w:r>
      <w:r w:rsidRPr="003336BD">
        <w:rPr>
          <w:sz w:val="28"/>
          <w:szCs w:val="28"/>
        </w:rPr>
        <w:t xml:space="preserve"> избирательного округа № </w:t>
      </w:r>
      <w:r w:rsidR="00EB52F2" w:rsidRPr="003336BD">
        <w:rPr>
          <w:sz w:val="28"/>
          <w:szCs w:val="28"/>
        </w:rPr>
        <w:t>12</w:t>
      </w:r>
      <w:r w:rsidRPr="003336BD">
        <w:rPr>
          <w:sz w:val="28"/>
          <w:szCs w:val="28"/>
        </w:rPr>
        <w:t xml:space="preserve"> по выборам депутатов Законодательного Собрания Тверской области </w:t>
      </w:r>
      <w:r w:rsidR="00D04C67" w:rsidRPr="003336BD">
        <w:rPr>
          <w:sz w:val="28"/>
          <w:szCs w:val="28"/>
        </w:rPr>
        <w:t xml:space="preserve">восьмого </w:t>
      </w:r>
      <w:r w:rsidRPr="003336BD">
        <w:rPr>
          <w:sz w:val="28"/>
          <w:szCs w:val="28"/>
        </w:rPr>
        <w:t xml:space="preserve">созыва на </w:t>
      </w:r>
      <w:proofErr w:type="gramStart"/>
      <w:r w:rsidRPr="003336BD">
        <w:rPr>
          <w:sz w:val="28"/>
          <w:szCs w:val="28"/>
        </w:rPr>
        <w:t>территориальную</w:t>
      </w:r>
      <w:proofErr w:type="gramEnd"/>
      <w:r w:rsidRPr="003336BD">
        <w:rPr>
          <w:sz w:val="28"/>
          <w:szCs w:val="28"/>
        </w:rPr>
        <w:t xml:space="preserve"> </w:t>
      </w:r>
      <w:proofErr w:type="gramStart"/>
      <w:r w:rsidRPr="003336BD">
        <w:rPr>
          <w:sz w:val="28"/>
          <w:szCs w:val="28"/>
        </w:rPr>
        <w:t xml:space="preserve">избирательную комиссию </w:t>
      </w:r>
      <w:r w:rsidR="00EB52F2" w:rsidRPr="003336BD">
        <w:rPr>
          <w:sz w:val="28"/>
          <w:szCs w:val="28"/>
        </w:rPr>
        <w:t>Кимрского округа</w:t>
      </w:r>
      <w:r w:rsidRPr="003336BD">
        <w:rPr>
          <w:sz w:val="28"/>
          <w:szCs w:val="28"/>
        </w:rPr>
        <w:t xml:space="preserve">», от </w:t>
      </w:r>
      <w:r w:rsidR="001E6E37" w:rsidRPr="003336BD">
        <w:rPr>
          <w:sz w:val="28"/>
          <w:szCs w:val="28"/>
        </w:rPr>
        <w:t xml:space="preserve">04.06.2026 № 3/33-8 </w:t>
      </w:r>
      <w:r w:rsidRPr="003336BD">
        <w:rPr>
          <w:sz w:val="28"/>
          <w:szCs w:val="28"/>
        </w:rPr>
        <w:t>«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О дополнительных офисах Тверского отделения № 8607 ПАО Сбербанк, уполномоченных на открытие специальных избирательных счетов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избирательных объединений, кандидатов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при проведении выборов депутатов Государственной Думы Федерального Собрания Российской Федерации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девятого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созыва, Законодательного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Собрания Тверской области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восьмого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созыва, Губернатора Тверской области,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органов местного самоуправления Тверской</w:t>
      </w:r>
      <w:r w:rsidR="00EB52F2" w:rsidRPr="003336BD">
        <w:rPr>
          <w:bCs/>
          <w:color w:val="0A0A0A"/>
          <w:sz w:val="28"/>
          <w:szCs w:val="28"/>
          <w:shd w:val="clear" w:color="auto" w:fill="FFFFFF"/>
        </w:rPr>
        <w:t xml:space="preserve"> </w:t>
      </w:r>
      <w:r w:rsidR="001E6E37" w:rsidRPr="003336BD">
        <w:rPr>
          <w:bCs/>
          <w:color w:val="0A0A0A"/>
          <w:sz w:val="28"/>
          <w:szCs w:val="28"/>
          <w:shd w:val="clear" w:color="auto" w:fill="FFFFFF"/>
        </w:rPr>
        <w:t>области</w:t>
      </w:r>
      <w:r w:rsidRPr="003336BD">
        <w:rPr>
          <w:sz w:val="28"/>
          <w:szCs w:val="28"/>
        </w:rPr>
        <w:t>», Порядком открытия, ведения и закрытия специальных избирательных счетов для</w:t>
      </w:r>
      <w:proofErr w:type="gramEnd"/>
      <w:r w:rsidRPr="003336BD">
        <w:rPr>
          <w:sz w:val="28"/>
          <w:szCs w:val="28"/>
        </w:rPr>
        <w:t xml:space="preserve"> формирования избирательных фондов кандидатов, избирательных объединений при проведении выборов депутатов Законодательного Собрания Тверской области, утвержденным постановлением избирательной комиссии Тве</w:t>
      </w:r>
      <w:r w:rsidR="001E6E37" w:rsidRPr="003336BD">
        <w:rPr>
          <w:sz w:val="28"/>
          <w:szCs w:val="28"/>
        </w:rPr>
        <w:t>рской области от 17.05.2021 №188/2261-7</w:t>
      </w:r>
      <w:r w:rsidRPr="003336BD">
        <w:rPr>
          <w:sz w:val="28"/>
          <w:szCs w:val="28"/>
        </w:rPr>
        <w:t xml:space="preserve">, территориальная избирательная комиссия </w:t>
      </w:r>
      <w:r w:rsidR="00EB52F2" w:rsidRPr="003336BD">
        <w:rPr>
          <w:sz w:val="28"/>
          <w:szCs w:val="28"/>
        </w:rPr>
        <w:t>Кимрского округа</w:t>
      </w:r>
      <w:r w:rsidRPr="003336BD">
        <w:rPr>
          <w:sz w:val="28"/>
          <w:szCs w:val="28"/>
        </w:rPr>
        <w:t xml:space="preserve"> </w:t>
      </w:r>
      <w:r w:rsidRPr="003336BD">
        <w:rPr>
          <w:b/>
          <w:spacing w:val="40"/>
          <w:sz w:val="28"/>
          <w:szCs w:val="28"/>
        </w:rPr>
        <w:t>постановляет:</w:t>
      </w:r>
    </w:p>
    <w:p w:rsidR="00CC4580" w:rsidRPr="003336BD" w:rsidRDefault="00CC4580" w:rsidP="00CC4580">
      <w:pPr>
        <w:numPr>
          <w:ilvl w:val="0"/>
          <w:numId w:val="2"/>
        </w:numPr>
        <w:tabs>
          <w:tab w:val="clear" w:pos="1400"/>
          <w:tab w:val="num" w:pos="0"/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336BD">
        <w:rPr>
          <w:sz w:val="28"/>
          <w:szCs w:val="28"/>
        </w:rPr>
        <w:lastRenderedPageBreak/>
        <w:t>Определить</w:t>
      </w:r>
      <w:r w:rsidR="001E2FFD" w:rsidRPr="003336BD">
        <w:rPr>
          <w:sz w:val="28"/>
          <w:szCs w:val="28"/>
        </w:rPr>
        <w:t xml:space="preserve"> дополнительный офис № </w:t>
      </w:r>
      <w:r w:rsidR="00EB52F2" w:rsidRPr="003336BD">
        <w:rPr>
          <w:sz w:val="28"/>
          <w:szCs w:val="28"/>
        </w:rPr>
        <w:t>№8607/0280</w:t>
      </w:r>
      <w:r w:rsidRPr="003336BD">
        <w:rPr>
          <w:sz w:val="28"/>
          <w:szCs w:val="28"/>
        </w:rPr>
        <w:t xml:space="preserve"> Тверского отделения № 8607 ПАО Сбербанк, расположенн</w:t>
      </w:r>
      <w:r w:rsidR="001E2FFD" w:rsidRPr="003336BD">
        <w:rPr>
          <w:sz w:val="28"/>
          <w:szCs w:val="28"/>
        </w:rPr>
        <w:t>ый по адресу 17</w:t>
      </w:r>
      <w:r w:rsidR="00EB52F2" w:rsidRPr="003336BD">
        <w:rPr>
          <w:sz w:val="28"/>
          <w:szCs w:val="28"/>
        </w:rPr>
        <w:t>1506</w:t>
      </w:r>
      <w:r w:rsidR="001E2FFD" w:rsidRPr="003336BD">
        <w:rPr>
          <w:sz w:val="28"/>
          <w:szCs w:val="28"/>
        </w:rPr>
        <w:t>, Тверс</w:t>
      </w:r>
      <w:r w:rsidR="00D04C67" w:rsidRPr="003336BD">
        <w:rPr>
          <w:sz w:val="28"/>
          <w:szCs w:val="28"/>
        </w:rPr>
        <w:t>кая область, г</w:t>
      </w:r>
      <w:r w:rsidR="00B0196A" w:rsidRPr="003336BD">
        <w:rPr>
          <w:sz w:val="28"/>
          <w:szCs w:val="28"/>
        </w:rPr>
        <w:t>ород</w:t>
      </w:r>
      <w:r w:rsidR="00EB52F2" w:rsidRPr="003336BD">
        <w:rPr>
          <w:sz w:val="28"/>
          <w:szCs w:val="28"/>
        </w:rPr>
        <w:t xml:space="preserve"> Кимры</w:t>
      </w:r>
      <w:r w:rsidR="00D04C67" w:rsidRPr="003336BD">
        <w:rPr>
          <w:sz w:val="28"/>
          <w:szCs w:val="28"/>
        </w:rPr>
        <w:t xml:space="preserve">, улица </w:t>
      </w:r>
      <w:r w:rsidR="00EB52F2" w:rsidRPr="003336BD">
        <w:rPr>
          <w:sz w:val="28"/>
          <w:szCs w:val="28"/>
        </w:rPr>
        <w:t>Троицкая</w:t>
      </w:r>
      <w:r w:rsidR="00D04C67" w:rsidRPr="003336BD">
        <w:rPr>
          <w:sz w:val="28"/>
          <w:szCs w:val="28"/>
        </w:rPr>
        <w:t>, д.</w:t>
      </w:r>
      <w:r w:rsidR="00EB52F2" w:rsidRPr="003336BD">
        <w:rPr>
          <w:sz w:val="28"/>
          <w:szCs w:val="28"/>
        </w:rPr>
        <w:t>9/11</w:t>
      </w:r>
      <w:r w:rsidRPr="003336BD">
        <w:rPr>
          <w:sz w:val="28"/>
          <w:szCs w:val="28"/>
        </w:rPr>
        <w:t xml:space="preserve">, уполномоченным на открытие и ведение специальных избирательных счетов кандидатов, выдвинутых по </w:t>
      </w:r>
      <w:r w:rsidR="00EB52F2" w:rsidRPr="003336BD">
        <w:rPr>
          <w:sz w:val="28"/>
          <w:szCs w:val="28"/>
        </w:rPr>
        <w:t>Кимрскому</w:t>
      </w:r>
      <w:r w:rsidR="001E2FFD" w:rsidRPr="003336BD">
        <w:rPr>
          <w:sz w:val="28"/>
          <w:szCs w:val="28"/>
        </w:rPr>
        <w:t xml:space="preserve"> </w:t>
      </w:r>
      <w:r w:rsidRPr="003336BD">
        <w:rPr>
          <w:sz w:val="28"/>
          <w:szCs w:val="28"/>
        </w:rPr>
        <w:t>одномандат</w:t>
      </w:r>
      <w:r w:rsidR="001E2FFD" w:rsidRPr="003336BD">
        <w:rPr>
          <w:sz w:val="28"/>
          <w:szCs w:val="28"/>
        </w:rPr>
        <w:t xml:space="preserve">ному избирательному округу № </w:t>
      </w:r>
      <w:r w:rsidR="00EB52F2" w:rsidRPr="003336BD">
        <w:rPr>
          <w:sz w:val="28"/>
          <w:szCs w:val="28"/>
        </w:rPr>
        <w:t>12</w:t>
      </w:r>
      <w:r w:rsidR="001E2FFD" w:rsidRPr="003336BD">
        <w:rPr>
          <w:sz w:val="28"/>
          <w:szCs w:val="28"/>
        </w:rPr>
        <w:t xml:space="preserve"> </w:t>
      </w:r>
      <w:bookmarkStart w:id="0" w:name="_Hlk74623204"/>
      <w:r w:rsidRPr="003336BD">
        <w:rPr>
          <w:sz w:val="28"/>
          <w:szCs w:val="28"/>
        </w:rPr>
        <w:t xml:space="preserve">при проведении </w:t>
      </w:r>
      <w:proofErr w:type="gramStart"/>
      <w:r w:rsidRPr="003336BD">
        <w:rPr>
          <w:sz w:val="28"/>
          <w:szCs w:val="28"/>
        </w:rPr>
        <w:t xml:space="preserve">выборов депутатов Законодательного Собрания Тверской области </w:t>
      </w:r>
      <w:r w:rsidR="00D04C67" w:rsidRPr="003336BD">
        <w:rPr>
          <w:sz w:val="28"/>
          <w:szCs w:val="28"/>
        </w:rPr>
        <w:t>восьмого</w:t>
      </w:r>
      <w:r w:rsidRPr="003336BD">
        <w:rPr>
          <w:sz w:val="28"/>
          <w:szCs w:val="28"/>
        </w:rPr>
        <w:t xml:space="preserve"> созыва</w:t>
      </w:r>
      <w:bookmarkEnd w:id="0"/>
      <w:proofErr w:type="gramEnd"/>
      <w:r w:rsidRPr="003336BD">
        <w:rPr>
          <w:sz w:val="28"/>
          <w:szCs w:val="28"/>
        </w:rPr>
        <w:t>.</w:t>
      </w:r>
    </w:p>
    <w:p w:rsidR="00CC4580" w:rsidRPr="003336BD" w:rsidRDefault="001E2FFD" w:rsidP="001E2FFD">
      <w:pPr>
        <w:numPr>
          <w:ilvl w:val="0"/>
          <w:numId w:val="2"/>
        </w:numPr>
        <w:tabs>
          <w:tab w:val="clear" w:pos="1400"/>
          <w:tab w:val="left" w:pos="1134"/>
          <w:tab w:val="num" w:pos="1560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proofErr w:type="gramStart"/>
      <w:r w:rsidRPr="003336BD">
        <w:rPr>
          <w:sz w:val="28"/>
          <w:szCs w:val="28"/>
        </w:rPr>
        <w:t>Назначить уполномоченным</w:t>
      </w:r>
      <w:r w:rsidR="00CC4580" w:rsidRPr="003336BD">
        <w:rPr>
          <w:sz w:val="28"/>
          <w:szCs w:val="28"/>
        </w:rPr>
        <w:t xml:space="preserve"> лиц</w:t>
      </w:r>
      <w:r w:rsidRPr="003336BD">
        <w:rPr>
          <w:sz w:val="28"/>
          <w:szCs w:val="28"/>
        </w:rPr>
        <w:t>ом</w:t>
      </w:r>
      <w:r w:rsidR="00CC4580" w:rsidRPr="003336BD">
        <w:rPr>
          <w:sz w:val="28"/>
          <w:szCs w:val="28"/>
        </w:rPr>
        <w:t xml:space="preserve"> территориальной избирательной комиссии</w:t>
      </w:r>
      <w:r w:rsidRPr="003336BD">
        <w:rPr>
          <w:sz w:val="28"/>
          <w:szCs w:val="28"/>
        </w:rPr>
        <w:t xml:space="preserve"> </w:t>
      </w:r>
      <w:r w:rsidR="00EB52F2" w:rsidRPr="003336BD">
        <w:rPr>
          <w:sz w:val="28"/>
          <w:szCs w:val="28"/>
        </w:rPr>
        <w:t>Кимрского округа</w:t>
      </w:r>
      <w:r w:rsidR="00CC4580" w:rsidRPr="003336BD">
        <w:rPr>
          <w:sz w:val="28"/>
          <w:szCs w:val="28"/>
        </w:rPr>
        <w:t xml:space="preserve"> на подписание разрешений на открытие специальных избирательных счетов, уведомлений о прекращении финансовых операций и разрешений о продлении финансовых операций по специальным избирательным счетам кандидатов, выдвинутых </w:t>
      </w:r>
      <w:bookmarkStart w:id="1" w:name="_Hlk74623414"/>
      <w:r w:rsidRPr="003336BD">
        <w:rPr>
          <w:sz w:val="28"/>
          <w:szCs w:val="28"/>
        </w:rPr>
        <w:t xml:space="preserve">по </w:t>
      </w:r>
      <w:r w:rsidR="00EB52F2" w:rsidRPr="003336BD">
        <w:rPr>
          <w:sz w:val="28"/>
          <w:szCs w:val="28"/>
        </w:rPr>
        <w:t>Кимрскому</w:t>
      </w:r>
      <w:r w:rsidRPr="003336BD">
        <w:rPr>
          <w:sz w:val="28"/>
          <w:szCs w:val="28"/>
        </w:rPr>
        <w:t xml:space="preserve"> одномандатному избирательному округу № </w:t>
      </w:r>
      <w:r w:rsidR="00EB52F2" w:rsidRPr="003336BD">
        <w:rPr>
          <w:sz w:val="28"/>
          <w:szCs w:val="28"/>
        </w:rPr>
        <w:t xml:space="preserve">12 </w:t>
      </w:r>
      <w:r w:rsidR="00CC4580" w:rsidRPr="003336BD">
        <w:rPr>
          <w:sz w:val="28"/>
          <w:szCs w:val="28"/>
        </w:rPr>
        <w:t xml:space="preserve">при проведении выборов депутатов Законодательного Собрания Тверской области </w:t>
      </w:r>
      <w:r w:rsidR="000F6CB7">
        <w:rPr>
          <w:sz w:val="28"/>
          <w:szCs w:val="28"/>
        </w:rPr>
        <w:t>вос</w:t>
      </w:r>
      <w:r w:rsidR="00CC4580" w:rsidRPr="003336BD">
        <w:rPr>
          <w:sz w:val="28"/>
          <w:szCs w:val="28"/>
        </w:rPr>
        <w:t>ьмого созыва</w:t>
      </w:r>
      <w:bookmarkEnd w:id="1"/>
      <w:r w:rsidR="00EB52F2" w:rsidRPr="003336BD">
        <w:rPr>
          <w:sz w:val="28"/>
          <w:szCs w:val="28"/>
        </w:rPr>
        <w:t xml:space="preserve"> </w:t>
      </w:r>
      <w:proofErr w:type="spellStart"/>
      <w:r w:rsidR="00EB52F2" w:rsidRPr="003336BD">
        <w:rPr>
          <w:sz w:val="28"/>
          <w:szCs w:val="28"/>
        </w:rPr>
        <w:t>Батаеву</w:t>
      </w:r>
      <w:proofErr w:type="spellEnd"/>
      <w:r w:rsidR="00EB52F2" w:rsidRPr="003336BD">
        <w:rPr>
          <w:sz w:val="28"/>
          <w:szCs w:val="28"/>
        </w:rPr>
        <w:t xml:space="preserve"> Татьяну Николаевну</w:t>
      </w:r>
      <w:r w:rsidR="00D04C67" w:rsidRPr="003336BD">
        <w:rPr>
          <w:sz w:val="28"/>
          <w:szCs w:val="28"/>
        </w:rPr>
        <w:t>,</w:t>
      </w:r>
      <w:r w:rsidRPr="003336BD">
        <w:rPr>
          <w:sz w:val="28"/>
          <w:szCs w:val="28"/>
        </w:rPr>
        <w:t xml:space="preserve"> председателя территориальной избирательной комиссии </w:t>
      </w:r>
      <w:r w:rsidR="00EB52F2" w:rsidRPr="003336BD">
        <w:rPr>
          <w:sz w:val="28"/>
          <w:szCs w:val="28"/>
        </w:rPr>
        <w:t>Кимрского округа</w:t>
      </w:r>
      <w:r w:rsidRPr="003336BD">
        <w:rPr>
          <w:sz w:val="28"/>
          <w:szCs w:val="28"/>
        </w:rPr>
        <w:t>.</w:t>
      </w:r>
      <w:proofErr w:type="gramEnd"/>
    </w:p>
    <w:p w:rsidR="001E2FFD" w:rsidRPr="003336BD" w:rsidRDefault="00585F29" w:rsidP="001E2FFD">
      <w:pPr>
        <w:pStyle w:val="a5"/>
        <w:numPr>
          <w:ilvl w:val="0"/>
          <w:numId w:val="2"/>
        </w:numPr>
        <w:tabs>
          <w:tab w:val="clear" w:pos="14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36BD">
        <w:rPr>
          <w:sz w:val="28"/>
          <w:szCs w:val="28"/>
        </w:rPr>
        <w:t xml:space="preserve">Направить настоящее </w:t>
      </w:r>
      <w:r w:rsidR="008D498E" w:rsidRPr="003336BD">
        <w:rPr>
          <w:sz w:val="28"/>
          <w:szCs w:val="28"/>
        </w:rPr>
        <w:t xml:space="preserve">постановление в </w:t>
      </w:r>
      <w:r w:rsidR="0059706D" w:rsidRPr="003336BD">
        <w:rPr>
          <w:sz w:val="28"/>
          <w:szCs w:val="28"/>
        </w:rPr>
        <w:t xml:space="preserve">дополнительный офис </w:t>
      </w:r>
      <w:r w:rsidR="006353A8" w:rsidRPr="003336BD">
        <w:rPr>
          <w:sz w:val="28"/>
          <w:szCs w:val="28"/>
        </w:rPr>
        <w:t>№8607/0</w:t>
      </w:r>
      <w:r w:rsidR="00B0196A" w:rsidRPr="003336BD">
        <w:rPr>
          <w:sz w:val="28"/>
          <w:szCs w:val="28"/>
        </w:rPr>
        <w:t>280</w:t>
      </w:r>
      <w:r w:rsidR="0059706D" w:rsidRPr="003336BD">
        <w:rPr>
          <w:sz w:val="28"/>
          <w:szCs w:val="28"/>
        </w:rPr>
        <w:t xml:space="preserve"> Тверског</w:t>
      </w:r>
      <w:r w:rsidR="00B0196A" w:rsidRPr="003336BD">
        <w:rPr>
          <w:sz w:val="28"/>
          <w:szCs w:val="28"/>
        </w:rPr>
        <w:t>о отделения №8607 ПАО Сбербанк.</w:t>
      </w:r>
    </w:p>
    <w:p w:rsidR="001E2FFD" w:rsidRPr="003336BD" w:rsidRDefault="001E2FFD" w:rsidP="00EB52F2">
      <w:pPr>
        <w:pStyle w:val="a5"/>
        <w:numPr>
          <w:ilvl w:val="0"/>
          <w:numId w:val="2"/>
        </w:numPr>
        <w:tabs>
          <w:tab w:val="clear" w:pos="140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336BD">
        <w:rPr>
          <w:sz w:val="28"/>
          <w:szCs w:val="28"/>
        </w:rPr>
        <w:t>Разместить</w:t>
      </w:r>
      <w:proofErr w:type="gramEnd"/>
      <w:r w:rsidRPr="003336BD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EB52F2" w:rsidRPr="003336BD">
        <w:rPr>
          <w:sz w:val="28"/>
          <w:szCs w:val="28"/>
        </w:rPr>
        <w:t>Кимрского округа</w:t>
      </w:r>
      <w:r w:rsidRPr="003336B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85F29" w:rsidRPr="003336BD" w:rsidRDefault="00585F29" w:rsidP="00D04C67">
      <w:pPr>
        <w:pStyle w:val="a5"/>
        <w:spacing w:line="360" w:lineRule="auto"/>
        <w:ind w:left="709"/>
        <w:jc w:val="both"/>
        <w:rPr>
          <w:sz w:val="28"/>
          <w:szCs w:val="28"/>
        </w:rPr>
      </w:pPr>
      <w:bookmarkStart w:id="2" w:name="_GoBack"/>
      <w:bookmarkEnd w:id="2"/>
    </w:p>
    <w:p w:rsidR="00585F29" w:rsidRPr="003336BD" w:rsidRDefault="00585F29" w:rsidP="00585F29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5249"/>
      </w:tblGrid>
      <w:tr w:rsidR="00EF0A47" w:rsidRPr="003336BD" w:rsidTr="00EF0A47">
        <w:tc>
          <w:tcPr>
            <w:tcW w:w="4219" w:type="dxa"/>
            <w:hideMark/>
          </w:tcPr>
          <w:p w:rsidR="00EF0A47" w:rsidRPr="003336BD" w:rsidRDefault="00EF0A47">
            <w:pPr>
              <w:jc w:val="center"/>
              <w:rPr>
                <w:sz w:val="28"/>
                <w:szCs w:val="28"/>
              </w:rPr>
            </w:pPr>
            <w:r w:rsidRPr="003336BD">
              <w:rPr>
                <w:sz w:val="28"/>
                <w:szCs w:val="28"/>
              </w:rPr>
              <w:t>Председатель</w:t>
            </w:r>
          </w:p>
          <w:p w:rsidR="00EF0A47" w:rsidRPr="003336BD" w:rsidRDefault="00EF0A47" w:rsidP="00EB52F2">
            <w:pPr>
              <w:jc w:val="center"/>
              <w:rPr>
                <w:sz w:val="28"/>
                <w:szCs w:val="28"/>
              </w:rPr>
            </w:pPr>
            <w:r w:rsidRPr="003336BD">
              <w:rPr>
                <w:sz w:val="28"/>
                <w:szCs w:val="28"/>
              </w:rPr>
              <w:t>территориальной изби</w:t>
            </w:r>
            <w:r w:rsidR="008D498E" w:rsidRPr="003336BD">
              <w:rPr>
                <w:sz w:val="28"/>
                <w:szCs w:val="28"/>
              </w:rPr>
              <w:t xml:space="preserve">рательной комиссии </w:t>
            </w:r>
            <w:r w:rsidR="00EB52F2" w:rsidRPr="003336BD">
              <w:rPr>
                <w:sz w:val="28"/>
                <w:szCs w:val="28"/>
              </w:rPr>
              <w:t>Кимрского округа</w:t>
            </w:r>
          </w:p>
        </w:tc>
        <w:tc>
          <w:tcPr>
            <w:tcW w:w="5249" w:type="dxa"/>
            <w:vAlign w:val="bottom"/>
            <w:hideMark/>
          </w:tcPr>
          <w:p w:rsidR="00EF0A47" w:rsidRPr="003336BD" w:rsidRDefault="00EB52F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3336BD">
              <w:rPr>
                <w:sz w:val="28"/>
                <w:szCs w:val="28"/>
              </w:rPr>
              <w:t xml:space="preserve">Т.Н. </w:t>
            </w:r>
            <w:proofErr w:type="spellStart"/>
            <w:r w:rsidRPr="003336BD">
              <w:rPr>
                <w:sz w:val="28"/>
                <w:szCs w:val="28"/>
              </w:rPr>
              <w:t>Батаева</w:t>
            </w:r>
            <w:proofErr w:type="spellEnd"/>
          </w:p>
        </w:tc>
      </w:tr>
      <w:tr w:rsidR="00EF0A47" w:rsidRPr="003336BD" w:rsidTr="00EF0A47">
        <w:tc>
          <w:tcPr>
            <w:tcW w:w="4219" w:type="dxa"/>
          </w:tcPr>
          <w:p w:rsidR="00EF0A47" w:rsidRPr="003336BD" w:rsidRDefault="00EF0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EF0A47" w:rsidRPr="003336BD" w:rsidRDefault="00EF0A4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EF0A47" w:rsidRPr="003336BD" w:rsidTr="00EF0A47">
        <w:tc>
          <w:tcPr>
            <w:tcW w:w="4219" w:type="dxa"/>
            <w:hideMark/>
          </w:tcPr>
          <w:p w:rsidR="00EF0A47" w:rsidRPr="003336BD" w:rsidRDefault="003336BD">
            <w:pPr>
              <w:jc w:val="center"/>
              <w:rPr>
                <w:sz w:val="28"/>
                <w:szCs w:val="28"/>
              </w:rPr>
            </w:pPr>
            <w:r w:rsidRPr="003336BD">
              <w:rPr>
                <w:sz w:val="28"/>
                <w:szCs w:val="28"/>
              </w:rPr>
              <w:t>И.о. с</w:t>
            </w:r>
            <w:r w:rsidR="00EF0A47" w:rsidRPr="003336BD">
              <w:rPr>
                <w:sz w:val="28"/>
                <w:szCs w:val="28"/>
              </w:rPr>
              <w:t>екретарь</w:t>
            </w:r>
          </w:p>
          <w:p w:rsidR="00EF0A47" w:rsidRPr="003336BD" w:rsidRDefault="00EF0A47" w:rsidP="00EB52F2">
            <w:pPr>
              <w:jc w:val="center"/>
              <w:rPr>
                <w:sz w:val="28"/>
                <w:szCs w:val="28"/>
              </w:rPr>
            </w:pPr>
            <w:r w:rsidRPr="003336BD">
              <w:rPr>
                <w:sz w:val="28"/>
                <w:szCs w:val="28"/>
              </w:rPr>
              <w:t>территориальной изби</w:t>
            </w:r>
            <w:r w:rsidR="008D498E" w:rsidRPr="003336BD">
              <w:rPr>
                <w:sz w:val="28"/>
                <w:szCs w:val="28"/>
              </w:rPr>
              <w:t xml:space="preserve">рательной комиссии </w:t>
            </w:r>
            <w:r w:rsidR="00EB52F2" w:rsidRPr="003336BD">
              <w:rPr>
                <w:sz w:val="28"/>
                <w:szCs w:val="28"/>
              </w:rPr>
              <w:t>Кимрского округа</w:t>
            </w:r>
          </w:p>
        </w:tc>
        <w:tc>
          <w:tcPr>
            <w:tcW w:w="5249" w:type="dxa"/>
            <w:vAlign w:val="bottom"/>
            <w:hideMark/>
          </w:tcPr>
          <w:p w:rsidR="00EF0A47" w:rsidRPr="003336BD" w:rsidRDefault="003336BD" w:rsidP="00B019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  <w:r w:rsidRPr="003336BD">
              <w:rPr>
                <w:bCs/>
                <w:iCs/>
                <w:sz w:val="28"/>
                <w:szCs w:val="28"/>
              </w:rPr>
              <w:t>Л.А. Логинова</w:t>
            </w:r>
          </w:p>
        </w:tc>
      </w:tr>
    </w:tbl>
    <w:p w:rsidR="00585F29" w:rsidRPr="003336BD" w:rsidRDefault="00585F29" w:rsidP="009C0FFD">
      <w:pPr>
        <w:jc w:val="both"/>
        <w:rPr>
          <w:sz w:val="28"/>
          <w:szCs w:val="28"/>
        </w:rPr>
      </w:pPr>
    </w:p>
    <w:sectPr w:rsidR="00585F29" w:rsidRPr="003336BD" w:rsidSect="009C0F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75" w:rsidRDefault="00411B75" w:rsidP="009C0FFD">
      <w:r>
        <w:separator/>
      </w:r>
    </w:p>
  </w:endnote>
  <w:endnote w:type="continuationSeparator" w:id="1">
    <w:p w:rsidR="00411B75" w:rsidRDefault="00411B75" w:rsidP="009C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75" w:rsidRDefault="00411B75" w:rsidP="009C0FFD">
      <w:r>
        <w:separator/>
      </w:r>
    </w:p>
  </w:footnote>
  <w:footnote w:type="continuationSeparator" w:id="1">
    <w:p w:rsidR="00411B75" w:rsidRDefault="00411B75" w:rsidP="009C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485811"/>
      <w:docPartObj>
        <w:docPartGallery w:val="Page Numbers (Top of Page)"/>
        <w:docPartUnique/>
      </w:docPartObj>
    </w:sdtPr>
    <w:sdtContent>
      <w:p w:rsidR="009C0FFD" w:rsidRDefault="00BD245A">
        <w:pPr>
          <w:pStyle w:val="a6"/>
          <w:jc w:val="center"/>
        </w:pPr>
        <w:r>
          <w:fldChar w:fldCharType="begin"/>
        </w:r>
        <w:r w:rsidR="009C0FFD">
          <w:instrText>PAGE   \* MERGEFORMAT</w:instrText>
        </w:r>
        <w:r>
          <w:fldChar w:fldCharType="separate"/>
        </w:r>
        <w:r w:rsidR="000F6CB7">
          <w:rPr>
            <w:noProof/>
          </w:rPr>
          <w:t>2</w:t>
        </w:r>
        <w:r>
          <w:fldChar w:fldCharType="end"/>
        </w:r>
      </w:p>
    </w:sdtContent>
  </w:sdt>
  <w:p w:rsidR="009C0FFD" w:rsidRDefault="009C0FF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>
    <w:nsid w:val="727844C8"/>
    <w:multiLevelType w:val="hybridMultilevel"/>
    <w:tmpl w:val="7E842BC0"/>
    <w:lvl w:ilvl="0" w:tplc="C59A6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549"/>
    <w:rsid w:val="00022C78"/>
    <w:rsid w:val="00027549"/>
    <w:rsid w:val="000F6CB7"/>
    <w:rsid w:val="001A564E"/>
    <w:rsid w:val="001E2FFD"/>
    <w:rsid w:val="001E6E37"/>
    <w:rsid w:val="001F3353"/>
    <w:rsid w:val="00246487"/>
    <w:rsid w:val="00290D47"/>
    <w:rsid w:val="003336BD"/>
    <w:rsid w:val="00411B75"/>
    <w:rsid w:val="004B0937"/>
    <w:rsid w:val="0053008C"/>
    <w:rsid w:val="0055427F"/>
    <w:rsid w:val="00585F29"/>
    <w:rsid w:val="0059020D"/>
    <w:rsid w:val="0059706D"/>
    <w:rsid w:val="006353A8"/>
    <w:rsid w:val="0066597B"/>
    <w:rsid w:val="006A63D7"/>
    <w:rsid w:val="006C1F05"/>
    <w:rsid w:val="00712B7B"/>
    <w:rsid w:val="00795016"/>
    <w:rsid w:val="00800AC6"/>
    <w:rsid w:val="0084541F"/>
    <w:rsid w:val="00897311"/>
    <w:rsid w:val="008D498E"/>
    <w:rsid w:val="009A5B87"/>
    <w:rsid w:val="009C0FFD"/>
    <w:rsid w:val="009D69E4"/>
    <w:rsid w:val="00B0196A"/>
    <w:rsid w:val="00BD245A"/>
    <w:rsid w:val="00BE1AC8"/>
    <w:rsid w:val="00C06F93"/>
    <w:rsid w:val="00C92447"/>
    <w:rsid w:val="00CC0279"/>
    <w:rsid w:val="00CC4580"/>
    <w:rsid w:val="00CF0A6E"/>
    <w:rsid w:val="00D04C67"/>
    <w:rsid w:val="00DA17D0"/>
    <w:rsid w:val="00E03466"/>
    <w:rsid w:val="00E67FA2"/>
    <w:rsid w:val="00EB52F2"/>
    <w:rsid w:val="00EE65ED"/>
    <w:rsid w:val="00EF0A47"/>
    <w:rsid w:val="00F6454E"/>
    <w:rsid w:val="00F8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7549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02754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027549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530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7549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02754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027549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530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Пользователь Windows</cp:lastModifiedBy>
  <cp:revision>8</cp:revision>
  <cp:lastPrinted>2026-06-10T08:02:00Z</cp:lastPrinted>
  <dcterms:created xsi:type="dcterms:W3CDTF">2026-06-10T07:42:00Z</dcterms:created>
  <dcterms:modified xsi:type="dcterms:W3CDTF">2026-06-22T10:16:00Z</dcterms:modified>
</cp:coreProperties>
</file>