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006E61" w:rsidRPr="00C75421" w:rsidTr="006E7F0E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2F5AE8" w:rsidRDefault="00006E61" w:rsidP="00006E61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№1</w:t>
            </w:r>
          </w:p>
        </w:tc>
      </w:tr>
      <w:tr w:rsidR="00006E61" w:rsidRPr="00C75421" w:rsidTr="006E7F0E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61" w:rsidRPr="002F5AE8" w:rsidRDefault="00006E61" w:rsidP="00006E61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УТВЕРЖДЕН</w:t>
            </w:r>
          </w:p>
        </w:tc>
      </w:tr>
      <w:tr w:rsidR="00006E61" w:rsidRPr="00C75421" w:rsidTr="006E7F0E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C7542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Default="00006E61" w:rsidP="0000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</w:t>
            </w:r>
            <w:r w:rsidRPr="00C75421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</w:p>
          <w:p w:rsidR="00006E61" w:rsidRPr="00C75421" w:rsidRDefault="00006E61" w:rsidP="0000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</w:p>
          <w:p w:rsidR="00006E61" w:rsidRPr="002F5AE8" w:rsidRDefault="00006E61" w:rsidP="00006E6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3286F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12 февраля</w:t>
            </w:r>
            <w:r w:rsidRPr="004827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2705">
                <w:rPr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2016 г</w:t>
              </w:r>
            </w:smartTag>
            <w:r w:rsidRPr="004827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</w:t>
            </w: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94/870-3</w:t>
            </w:r>
          </w:p>
        </w:tc>
      </w:tr>
    </w:tbl>
    <w:p w:rsidR="00006E61" w:rsidRPr="00F1130C" w:rsidRDefault="00006E61" w:rsidP="00006E61">
      <w:pPr>
        <w:pStyle w:val="a5"/>
        <w:spacing w:before="120"/>
        <w:jc w:val="center"/>
        <w:rPr>
          <w:b w:val="0"/>
          <w:szCs w:val="28"/>
        </w:rPr>
      </w:pPr>
      <w:r w:rsidRPr="00F1130C">
        <w:rPr>
          <w:b w:val="0"/>
          <w:szCs w:val="28"/>
        </w:rPr>
        <w:t>СВОДНЫЙ ПЛАН</w:t>
      </w:r>
    </w:p>
    <w:p w:rsidR="00006E61" w:rsidRPr="00F1130C" w:rsidRDefault="00006E61" w:rsidP="00006E61">
      <w:pPr>
        <w:pStyle w:val="a5"/>
        <w:spacing w:after="120"/>
        <w:jc w:val="center"/>
        <w:rPr>
          <w:b w:val="0"/>
          <w:szCs w:val="28"/>
        </w:rPr>
      </w:pPr>
      <w:r w:rsidRPr="00F1130C">
        <w:rPr>
          <w:b w:val="0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 w:val="0"/>
          <w:szCs w:val="28"/>
          <w:lang w:val="ru-RU"/>
        </w:rPr>
        <w:t>Кимрском районе</w:t>
      </w:r>
      <w:r w:rsidRPr="00F1130C">
        <w:rPr>
          <w:b w:val="0"/>
          <w:szCs w:val="28"/>
        </w:rPr>
        <w:t xml:space="preserve"> на 201</w:t>
      </w:r>
      <w:r>
        <w:rPr>
          <w:b w:val="0"/>
          <w:szCs w:val="28"/>
          <w:lang w:val="ru-RU"/>
        </w:rPr>
        <w:t>6</w:t>
      </w:r>
      <w:r w:rsidRPr="00F1130C">
        <w:rPr>
          <w:b w:val="0"/>
          <w:szCs w:val="28"/>
        </w:rPr>
        <w:t xml:space="preserve"> год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211"/>
        <w:gridCol w:w="3685"/>
        <w:gridCol w:w="2267"/>
      </w:tblGrid>
      <w:tr w:rsidR="00006E61" w:rsidRPr="005B4297" w:rsidTr="006E7F0E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5B4297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5B4297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</w:t>
            </w: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5B4297" w:rsidRDefault="00006E61" w:rsidP="006E7F0E">
            <w:pPr>
              <w:pStyle w:val="2"/>
              <w:keepNext w:val="0"/>
              <w:jc w:val="center"/>
              <w:rPr>
                <w:b/>
                <w:szCs w:val="28"/>
                <w:lang w:val="ru-RU" w:eastAsia="ru-RU"/>
              </w:rPr>
            </w:pPr>
            <w:r w:rsidRPr="005B4297">
              <w:rPr>
                <w:b/>
                <w:szCs w:val="28"/>
                <w:lang w:val="ru-RU" w:eastAsia="ru-RU"/>
              </w:rPr>
              <w:t>Организаторы меропри</w:t>
            </w:r>
            <w:r w:rsidRPr="005B4297">
              <w:rPr>
                <w:b/>
                <w:szCs w:val="28"/>
                <w:lang w:val="ru-RU" w:eastAsia="ru-RU"/>
              </w:rPr>
              <w:t>я</w:t>
            </w:r>
            <w:r w:rsidRPr="005B4297">
              <w:rPr>
                <w:b/>
                <w:szCs w:val="28"/>
                <w:lang w:val="ru-RU" w:eastAsia="ru-RU"/>
              </w:rPr>
              <w:t>тия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5B4297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Сроки пров</w:t>
            </w: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4297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</w:tr>
      <w:tr w:rsidR="00006E61" w:rsidRPr="00F1130C" w:rsidTr="006E7F0E">
        <w:trPr>
          <w:trHeight w:val="257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F1130C" w:rsidRDefault="00006E61" w:rsidP="006E7F0E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30C">
              <w:rPr>
                <w:rFonts w:ascii="Times New Roman" w:hAnsi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006E61" w:rsidRPr="00F1130C" w:rsidTr="006E7F0E">
        <w:trPr>
          <w:trHeight w:val="163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Обобщение информации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>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rFonts w:ascii="Times New Roman" w:hAnsi="Times New Roman"/>
                <w:sz w:val="28"/>
                <w:szCs w:val="28"/>
              </w:rPr>
              <w:t>Кимрском районе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06E61" w:rsidRPr="00F1130C" w:rsidTr="006E7F0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1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Разработка и реализация плана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разъяснительной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в период </w:t>
            </w:r>
            <w:proofErr w:type="gramStart"/>
            <w:r w:rsidRPr="00B23A81">
              <w:rPr>
                <w:rFonts w:ascii="Times New Roman" w:hAnsi="Times New Roman"/>
                <w:sz w:val="28"/>
                <w:szCs w:val="28"/>
              </w:rPr>
              <w:t xml:space="preserve">проведения выборов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Государственной Думы Федерального Собрания Российской Федерации седьмого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созыва, Губернатора Тверской области, депутатов Законодательного Собрания Тверской области шестого созыва 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552A4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552A4C">
              <w:rPr>
                <w:b w:val="0"/>
              </w:rPr>
              <w:t xml:space="preserve">территориальная избирательная комиссия </w:t>
            </w:r>
            <w:r>
              <w:rPr>
                <w:b w:val="0"/>
              </w:rPr>
              <w:t>Кимрского</w:t>
            </w:r>
            <w:r w:rsidRPr="00552A4C">
              <w:rPr>
                <w:b w:val="0"/>
              </w:rPr>
              <w:t xml:space="preserve"> района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F1130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DB4BA3">
              <w:rPr>
                <w:b w:val="0"/>
                <w:lang w:val="ru-RU" w:eastAsia="ru-RU"/>
              </w:rPr>
              <w:t>феврал</w:t>
            </w:r>
            <w:r>
              <w:rPr>
                <w:b w:val="0"/>
                <w:lang w:val="ru-RU" w:eastAsia="ru-RU"/>
              </w:rPr>
              <w:t>ь</w:t>
            </w:r>
            <w:r w:rsidRPr="00F1130C">
              <w:rPr>
                <w:b w:val="0"/>
                <w:lang w:val="ru-RU" w:eastAsia="ru-RU"/>
              </w:rPr>
              <w:t>-</w:t>
            </w:r>
            <w:r>
              <w:rPr>
                <w:b w:val="0"/>
                <w:lang w:val="ru-RU" w:eastAsia="ru-RU"/>
              </w:rPr>
              <w:t>сентябрь</w:t>
            </w:r>
          </w:p>
        </w:tc>
      </w:tr>
      <w:tr w:rsidR="00006E61" w:rsidRPr="00F1130C" w:rsidTr="006E7F0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1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обучения членов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2016 год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552A4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552A4C">
              <w:rPr>
                <w:b w:val="0"/>
              </w:rPr>
              <w:t xml:space="preserve">территориальная избирательная комиссия </w:t>
            </w:r>
            <w:r>
              <w:rPr>
                <w:b w:val="0"/>
              </w:rPr>
              <w:t>Кимрского</w:t>
            </w:r>
            <w:r w:rsidRPr="00552A4C">
              <w:rPr>
                <w:b w:val="0"/>
              </w:rPr>
              <w:t xml:space="preserve"> района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F1130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DB4BA3">
              <w:rPr>
                <w:b w:val="0"/>
                <w:lang w:val="ru-RU" w:eastAsia="ru-RU"/>
              </w:rPr>
              <w:t>феврал</w:t>
            </w:r>
            <w:r>
              <w:rPr>
                <w:b w:val="0"/>
                <w:lang w:val="ru-RU" w:eastAsia="ru-RU"/>
              </w:rPr>
              <w:t>ь</w:t>
            </w:r>
          </w:p>
        </w:tc>
      </w:tr>
      <w:tr w:rsidR="00006E61" w:rsidRPr="00F1130C" w:rsidTr="006E7F0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F1130C" w:rsidRDefault="00006E61" w:rsidP="006E7F0E">
            <w:pPr>
              <w:pStyle w:val="14"/>
              <w:ind w:left="116" w:firstLine="142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Участие в п</w:t>
            </w:r>
            <w:r w:rsidRPr="00757CE6">
              <w:rPr>
                <w:b w:val="0"/>
                <w:szCs w:val="28"/>
              </w:rPr>
              <w:t>роведени</w:t>
            </w:r>
            <w:r>
              <w:rPr>
                <w:b w:val="0"/>
                <w:szCs w:val="28"/>
              </w:rPr>
              <w:t>и</w:t>
            </w:r>
            <w:r w:rsidRPr="00757CE6">
              <w:rPr>
                <w:b w:val="0"/>
                <w:szCs w:val="28"/>
              </w:rPr>
              <w:t xml:space="preserve"> </w:t>
            </w:r>
            <w:r>
              <w:rPr>
                <w:b w:val="0"/>
              </w:rPr>
              <w:t>областного конкурса на лучшую методическую разработку тематического занятия, посвященного истории выборов в Российской Федерации, среди педагогических работников образовательных организаций, осуществляющих деятельность по программам среднего и высшего образования Тверской области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552A4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052EDC">
              <w:rPr>
                <w:b w:val="0"/>
              </w:rPr>
              <w:t>территориальн</w:t>
            </w:r>
            <w:r>
              <w:rPr>
                <w:b w:val="0"/>
                <w:lang w:val="ru-RU"/>
              </w:rPr>
              <w:t>ая</w:t>
            </w:r>
            <w:r w:rsidRPr="00052EDC">
              <w:rPr>
                <w:b w:val="0"/>
              </w:rPr>
              <w:t xml:space="preserve"> </w:t>
            </w:r>
            <w:r>
              <w:rPr>
                <w:b w:val="0"/>
              </w:rPr>
              <w:t>избирательная</w:t>
            </w:r>
            <w:r>
              <w:rPr>
                <w:b w:val="0"/>
                <w:lang w:val="ru-RU"/>
              </w:rPr>
              <w:t xml:space="preserve"> комиссия Кимрского района, районный отдел образования администрации Кимрского района 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F1130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январь-июнь</w:t>
            </w:r>
          </w:p>
        </w:tc>
      </w:tr>
      <w:tr w:rsidR="00006E61" w:rsidRPr="00F1130C" w:rsidTr="006E7F0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Default="00006E61" w:rsidP="006E7F0E">
            <w:pPr>
              <w:spacing w:after="0" w:line="240" w:lineRule="auto"/>
              <w:ind w:left="116" w:right="1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Организационно-методическое содействие в проведении 1 сентября 2016 года в общеобразовательных организациях тематических занятий, посвященных 110-летию Российского парламентаризма, 220-летию образования Тверской области, истории выборов в Тверской области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052ED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</w:rPr>
            </w:pPr>
            <w:r w:rsidRPr="00052EDC">
              <w:rPr>
                <w:b w:val="0"/>
              </w:rPr>
              <w:t>территориальн</w:t>
            </w:r>
            <w:r>
              <w:rPr>
                <w:b w:val="0"/>
                <w:lang w:val="ru-RU"/>
              </w:rPr>
              <w:t>ая</w:t>
            </w:r>
            <w:r w:rsidRPr="00052EDC">
              <w:rPr>
                <w:b w:val="0"/>
              </w:rPr>
              <w:t xml:space="preserve"> </w:t>
            </w:r>
            <w:r>
              <w:rPr>
                <w:b w:val="0"/>
              </w:rPr>
              <w:t>избирательная</w:t>
            </w:r>
            <w:r>
              <w:rPr>
                <w:b w:val="0"/>
                <w:lang w:val="ru-RU"/>
              </w:rPr>
              <w:t xml:space="preserve"> комиссия Кимрского района, районный отдел образования администрации Кимрского района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006E61" w:rsidRPr="00F1130C" w:rsidTr="006E7F0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757CE6" w:rsidRDefault="00006E61" w:rsidP="006E7F0E">
            <w:pPr>
              <w:pStyle w:val="14"/>
              <w:ind w:left="116" w:firstLine="14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Участие в п</w:t>
            </w:r>
            <w:r w:rsidRPr="00757CE6">
              <w:rPr>
                <w:b w:val="0"/>
                <w:szCs w:val="28"/>
              </w:rPr>
              <w:t>роведени</w:t>
            </w:r>
            <w:r>
              <w:rPr>
                <w:b w:val="0"/>
                <w:szCs w:val="28"/>
              </w:rPr>
              <w:t>и</w:t>
            </w:r>
            <w:r w:rsidRPr="00757CE6">
              <w:rPr>
                <w:b w:val="0"/>
                <w:szCs w:val="28"/>
              </w:rPr>
              <w:t xml:space="preserve"> </w:t>
            </w:r>
            <w:r>
              <w:rPr>
                <w:b w:val="0"/>
              </w:rPr>
              <w:t>областного конкурса кроссвордов на тему избирательного права и избирательного процесса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F1130C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052EDC">
              <w:rPr>
                <w:b w:val="0"/>
              </w:rPr>
              <w:t>территориальн</w:t>
            </w:r>
            <w:r>
              <w:rPr>
                <w:b w:val="0"/>
                <w:lang w:val="ru-RU"/>
              </w:rPr>
              <w:t>ая</w:t>
            </w:r>
            <w:r w:rsidRPr="00052EDC">
              <w:rPr>
                <w:b w:val="0"/>
              </w:rPr>
              <w:t xml:space="preserve"> </w:t>
            </w:r>
            <w:r>
              <w:rPr>
                <w:b w:val="0"/>
              </w:rPr>
              <w:t>избирательная</w:t>
            </w:r>
            <w:r>
              <w:rPr>
                <w:b w:val="0"/>
                <w:lang w:val="ru-RU"/>
              </w:rPr>
              <w:t xml:space="preserve"> Кимрского района, районный отдел образования администрации Кимрского района</w:t>
            </w:r>
          </w:p>
        </w:tc>
        <w:tc>
          <w:tcPr>
            <w:tcW w:w="22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февраль-июнь</w:t>
            </w:r>
          </w:p>
        </w:tc>
      </w:tr>
      <w:tr w:rsidR="00006E61" w:rsidRPr="00F1130C" w:rsidTr="006E7F0E">
        <w:trPr>
          <w:trHeight w:val="94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1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участковым 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052EDC">
              <w:rPr>
                <w:b w:val="0"/>
              </w:rPr>
              <w:t>территориальн</w:t>
            </w:r>
            <w:r>
              <w:rPr>
                <w:b w:val="0"/>
                <w:lang w:val="ru-RU"/>
              </w:rPr>
              <w:t>ая</w:t>
            </w:r>
            <w:r w:rsidRPr="00052EDC">
              <w:rPr>
                <w:b w:val="0"/>
              </w:rPr>
              <w:t xml:space="preserve"> </w:t>
            </w:r>
            <w:r>
              <w:rPr>
                <w:b w:val="0"/>
              </w:rPr>
              <w:t>избирательная</w:t>
            </w:r>
            <w:r>
              <w:rPr>
                <w:b w:val="0"/>
                <w:lang w:val="ru-RU"/>
              </w:rPr>
              <w:t xml:space="preserve">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AF604B">
              <w:rPr>
                <w:b w:val="0"/>
                <w:lang w:val="ru-RU" w:eastAsia="ru-RU"/>
              </w:rPr>
              <w:t>весь период</w:t>
            </w:r>
          </w:p>
        </w:tc>
      </w:tr>
      <w:tr w:rsidR="00006E61" w:rsidRPr="00F1130C" w:rsidTr="006E7F0E">
        <w:trPr>
          <w:trHeight w:val="824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B23A81">
              <w:rPr>
                <w:b w:val="0"/>
                <w:lang w:val="ru-RU"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006E61" w:rsidRPr="00F1130C" w:rsidTr="006E7F0E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>по вопросам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62D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proofErr w:type="gramStart"/>
            <w:r w:rsidRPr="00DE09A8">
              <w:rPr>
                <w:rFonts w:ascii="Times New Roman" w:hAnsi="Times New Roman"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DE09A8">
              <w:rPr>
                <w:rFonts w:ascii="Times New Roman" w:hAnsi="Times New Roman"/>
                <w:sz w:val="28"/>
                <w:szCs w:val="28"/>
              </w:rPr>
              <w:t xml:space="preserve"> созыва, Губернатора Тверской области, депутатов Законодательного Собрания Тверской области шестого созыва 18 сентября 2016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370A83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</w:t>
            </w:r>
            <w:r w:rsidRPr="00370A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приложению</w:t>
            </w:r>
          </w:p>
        </w:tc>
      </w:tr>
      <w:tr w:rsidR="00006E61" w:rsidRPr="00F1130C" w:rsidTr="006E7F0E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участковых избирательных комиссий, кадрового резерва участковых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по вопросам подготовки и проведения </w:t>
            </w:r>
            <w:proofErr w:type="gramStart"/>
            <w:r w:rsidRPr="00DE09A8">
              <w:rPr>
                <w:rFonts w:ascii="Times New Roman" w:hAnsi="Times New Roman"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DE09A8">
              <w:rPr>
                <w:rFonts w:ascii="Times New Roman" w:hAnsi="Times New Roman"/>
                <w:sz w:val="28"/>
                <w:szCs w:val="28"/>
              </w:rPr>
              <w:t xml:space="preserve"> созыва, Губернатора Тверской области, депутатов Законодательного Собрания Тверской области шестого созыва 18 сентября 2016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370A83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</w:t>
            </w:r>
            <w:r w:rsidRPr="00370A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приложению</w:t>
            </w:r>
          </w:p>
        </w:tc>
      </w:tr>
      <w:tr w:rsidR="00006E61" w:rsidRPr="00F1130C" w:rsidTr="006E7F0E">
        <w:trPr>
          <w:trHeight w:val="6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DE406C" w:rsidRDefault="00006E61" w:rsidP="006E7F0E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06C">
              <w:rPr>
                <w:rFonts w:ascii="Times New Roman" w:hAnsi="Times New Roman"/>
                <w:sz w:val="28"/>
                <w:szCs w:val="28"/>
              </w:rPr>
              <w:t>Проведение обучающ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DE406C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 членами </w:t>
            </w:r>
            <w:r w:rsidRPr="00DE406C">
              <w:rPr>
                <w:rFonts w:ascii="Times New Roman" w:hAnsi="Times New Roman"/>
                <w:sz w:val="28"/>
                <w:szCs w:val="28"/>
              </w:rPr>
              <w:t>Контрольно-ревизионн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E406C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E4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406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E406C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006E61" w:rsidRPr="00F1130C" w:rsidTr="006E7F0E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рабочих совещаний с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массовой информации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 выборов депутатов Государственной Думы Федерального Собрания Российской Федерации седьмого</w:t>
            </w:r>
            <w:proofErr w:type="gramEnd"/>
            <w:r w:rsidRPr="00DE09A8">
              <w:rPr>
                <w:rFonts w:ascii="Times New Roman" w:hAnsi="Times New Roman"/>
                <w:sz w:val="28"/>
                <w:szCs w:val="28"/>
              </w:rPr>
              <w:t xml:space="preserve"> созыва, Губернатора Тверской области, депутатов Законодательного Собрания Тверской области шестого созыва 18 сентября 2016 года</w:t>
            </w:r>
            <w:r>
              <w:rPr>
                <w:rFonts w:ascii="Times New Roman" w:hAnsi="Times New Roman"/>
                <w:sz w:val="28"/>
                <w:szCs w:val="28"/>
              </w:rPr>
              <w:t>, освещения деятельности территориальной избирательной комиссии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</w:t>
            </w:r>
            <w:r w:rsidRPr="00370A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июль</w:t>
            </w:r>
          </w:p>
        </w:tc>
      </w:tr>
      <w:tr w:rsidR="00006E61" w:rsidRPr="00F1130C" w:rsidTr="006E7F0E">
        <w:trPr>
          <w:trHeight w:val="11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молодежными советами поселений, молодежным советом администрации Кимрского района, посвященных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 электоральной активности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</w:t>
            </w:r>
            <w:r w:rsidRPr="00370A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 молодежный совет при главе администрации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006E61" w:rsidRPr="00F1130C" w:rsidTr="006E7F0E">
        <w:trPr>
          <w:trHeight w:val="15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организуемых 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подготовки и  проведения </w:t>
            </w:r>
            <w:proofErr w:type="gramStart"/>
            <w:r w:rsidRPr="00DE09A8">
              <w:rPr>
                <w:rFonts w:ascii="Times New Roman" w:hAnsi="Times New Roman"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DE09A8">
              <w:rPr>
                <w:rFonts w:ascii="Times New Roman" w:hAnsi="Times New Roman"/>
                <w:sz w:val="28"/>
                <w:szCs w:val="28"/>
              </w:rPr>
              <w:t xml:space="preserve"> созыва, Губернатора Тверской области, депутатов Законодательного Собрания Тверской области шестого созыва 18 сентября 2016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повышения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правовой культуры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A83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</w:t>
            </w:r>
            <w:r w:rsidRPr="00370A8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006E61" w:rsidRPr="00F1130C" w:rsidTr="006E7F0E">
        <w:trPr>
          <w:trHeight w:val="727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006E61" w:rsidRPr="00F1130C" w:rsidTr="006E7F0E">
        <w:trPr>
          <w:trHeight w:val="25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D4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в СМИ тематических рубрик </w:t>
            </w:r>
            <w:r w:rsidRPr="001C6BD4">
              <w:rPr>
                <w:rFonts w:ascii="Times New Roman" w:hAnsi="Times New Roman"/>
                <w:sz w:val="28"/>
                <w:szCs w:val="28"/>
              </w:rPr>
              <w:t>«Выборы – 2016»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</w:t>
            </w:r>
            <w:r w:rsidRPr="001C6BD4">
              <w:rPr>
                <w:rFonts w:ascii="Times New Roman" w:hAnsi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C6BD4">
              <w:rPr>
                <w:rFonts w:ascii="Times New Roman" w:hAnsi="Times New Roman"/>
                <w:sz w:val="28"/>
                <w:szCs w:val="28"/>
              </w:rPr>
              <w:t xml:space="preserve"> информационно-разъяснительных материалов избирательной комиссии Тверской области и территориальных избирательных комиссий о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созыва, представительных органов местного самоуправления в 2016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Кимрского района, газета «Кимрский вестник»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006E61" w:rsidRPr="00F1130C" w:rsidTr="006E7F0E">
        <w:trPr>
          <w:trHeight w:hRule="exact"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передвижной выставки «Выборы в Тверской области: история и современность»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DD6033" w:rsidRDefault="00006E61" w:rsidP="006E7F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избирательная комиссия Тверской области, т</w:t>
            </w:r>
            <w:r w:rsidRPr="00DD6033">
              <w:rPr>
                <w:rFonts w:ascii="Times New Roman" w:hAnsi="Times New Roman"/>
                <w:sz w:val="28"/>
                <w:szCs w:val="28"/>
                <w:lang/>
              </w:rPr>
              <w:t>ерриториальн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ая</w:t>
            </w:r>
            <w:r w:rsidRPr="00DD6033">
              <w:rPr>
                <w:rFonts w:ascii="Times New Roman" w:hAnsi="Times New Roman"/>
                <w:sz w:val="28"/>
                <w:szCs w:val="28"/>
                <w:lang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ая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</w:tr>
      <w:tr w:rsidR="00006E61" w:rsidRPr="00F1130C" w:rsidTr="006E7F0E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Освещение реализации мер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</w:t>
            </w:r>
            <w:r w:rsidRPr="00DD6033">
              <w:rPr>
                <w:rFonts w:ascii="Times New Roman" w:hAnsi="Times New Roman"/>
                <w:sz w:val="28"/>
                <w:szCs w:val="28"/>
                <w:lang/>
              </w:rPr>
              <w:t>ерриториальн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ая</w:t>
            </w:r>
            <w:r w:rsidRPr="00DD6033">
              <w:rPr>
                <w:rFonts w:ascii="Times New Roman" w:hAnsi="Times New Roman"/>
                <w:sz w:val="28"/>
                <w:szCs w:val="28"/>
                <w:lang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ая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</w:tr>
      <w:tr w:rsidR="00006E61" w:rsidRPr="00F1130C" w:rsidTr="006E7F0E">
        <w:trPr>
          <w:trHeight w:val="695"/>
        </w:trPr>
        <w:tc>
          <w:tcPr>
            <w:tcW w:w="1489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006E61" w:rsidRPr="00F1130C" w:rsidTr="006E7F0E">
        <w:trPr>
          <w:trHeight w:val="108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 xml:space="preserve">, учебные заведения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 xml:space="preserve">по заявкам учебных </w:t>
            </w:r>
            <w:r>
              <w:rPr>
                <w:rFonts w:ascii="Times New Roman" w:hAnsi="Times New Roman"/>
                <w:sz w:val="28"/>
                <w:szCs w:val="28"/>
              </w:rPr>
              <w:t>учреж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</w:tr>
      <w:tr w:rsidR="00006E61" w:rsidRPr="00F1130C" w:rsidTr="006E7F0E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третьем этапе</w:t>
            </w:r>
            <w:r w:rsidRPr="00B23A8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олимпиады старшеклассников общеобразовательных учреждений Тверской области по избирательному законодательству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территориальная избирательная комиссия Кимрского района, районный отдел образования администрации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0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006E61" w:rsidRPr="00F1130C" w:rsidTr="006E7F0E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Д</w:t>
            </w:r>
            <w:r w:rsidRPr="00B23A81">
              <w:rPr>
                <w:rFonts w:ascii="Times New Roman" w:eastAsia="Times New Roman" w:hAnsi="Times New Roman"/>
                <w:sz w:val="28"/>
                <w:szCs w:val="28"/>
              </w:rPr>
              <w:t>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районный отдел образования, отдел культуры, молодежи и туризма администрации Кимрского района,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AF604B">
              <w:rPr>
                <w:rFonts w:ascii="Times New Roman" w:eastAsia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сентябрь</w:t>
            </w:r>
          </w:p>
        </w:tc>
      </w:tr>
      <w:tr w:rsidR="00006E61" w:rsidRPr="00F1130C" w:rsidTr="006E7F0E">
        <w:trPr>
          <w:trHeight w:val="15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116" w:right="1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81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этапа </w:t>
            </w:r>
            <w:r w:rsidRPr="00B23A8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Кимрского района, координационный совет по повышению правовой культуры участников избирательного процесса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006E61" w:rsidRPr="00F1130C" w:rsidTr="006E7F0E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17DC9" w:rsidRDefault="00006E61" w:rsidP="006E7F0E">
            <w:pPr>
              <w:spacing w:after="0" w:line="240" w:lineRule="auto"/>
              <w:ind w:left="116" w:right="82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</w:t>
            </w:r>
            <w:r w:rsidRPr="00B17DC9">
              <w:rPr>
                <w:rFonts w:ascii="Times New Roman" w:eastAsia="Times New Roman" w:hAnsi="Times New Roman"/>
                <w:sz w:val="28"/>
                <w:szCs w:val="28"/>
              </w:rPr>
              <w:t>Акци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17D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7DC9">
              <w:rPr>
                <w:rFonts w:ascii="Times New Roman" w:hAnsi="Times New Roman"/>
                <w:sz w:val="28"/>
                <w:szCs w:val="28"/>
              </w:rPr>
              <w:t>«Территория выборов»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посвященной</w:t>
            </w:r>
            <w:r w:rsidRPr="00B17D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02EF">
              <w:rPr>
                <w:rFonts w:ascii="Times New Roman" w:hAnsi="Times New Roman"/>
                <w:sz w:val="28"/>
                <w:szCs w:val="28"/>
              </w:rPr>
              <w:t xml:space="preserve">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</w:t>
            </w:r>
            <w:r w:rsidRPr="00AF604B">
              <w:rPr>
                <w:rFonts w:ascii="Times New Roman" w:hAnsi="Times New Roman"/>
                <w:sz w:val="28"/>
                <w:szCs w:val="28"/>
              </w:rPr>
              <w:t xml:space="preserve">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 района, молодежный совет при главе администрации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006E61" w:rsidRPr="00F1130C" w:rsidTr="006E7F0E">
        <w:trPr>
          <w:trHeight w:val="10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привлечения добровольцев для обеспечения помощи инвалидам и пожилым избирателям в день голосования «Выборы доступны всем»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 сентябрь</w:t>
            </w:r>
          </w:p>
        </w:tc>
      </w:tr>
      <w:tr w:rsidR="00006E61" w:rsidRPr="00F1130C" w:rsidTr="006E7F0E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</w:t>
            </w:r>
            <w:r w:rsidRPr="00B23A81">
              <w:rPr>
                <w:rFonts w:ascii="Times New Roman" w:eastAsia="Times New Roman" w:hAnsi="Times New Roman"/>
                <w:sz w:val="28"/>
                <w:szCs w:val="28"/>
              </w:rPr>
              <w:t xml:space="preserve"> фотоконкурс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23A81">
              <w:rPr>
                <w:rFonts w:ascii="Times New Roman" w:eastAsia="Times New Roman" w:hAnsi="Times New Roman"/>
                <w:sz w:val="28"/>
                <w:szCs w:val="28"/>
              </w:rPr>
              <w:t xml:space="preserve"> «Выборы в объективе»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 т.ч. номинация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23"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Айданавыборы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!»), посвященного </w:t>
            </w:r>
            <w:r w:rsidRPr="00F62D23">
              <w:rPr>
                <w:rFonts w:ascii="Times New Roman" w:hAnsi="Times New Roman"/>
                <w:sz w:val="28"/>
                <w:szCs w:val="28"/>
              </w:rPr>
              <w:t>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6E61" w:rsidRPr="00F1130C" w:rsidTr="006E7F0E">
        <w:trPr>
          <w:trHeight w:val="6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tabs>
                <w:tab w:val="left" w:pos="3181"/>
              </w:tabs>
              <w:spacing w:after="0" w:line="240" w:lineRule="auto"/>
              <w:ind w:left="116" w:right="165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районной  акции «Встретимся на выборах!»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Кимрского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171822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6E61" w:rsidRPr="00F1130C" w:rsidTr="006E7F0E">
        <w:trPr>
          <w:trHeight w:val="524"/>
        </w:trPr>
        <w:tc>
          <w:tcPr>
            <w:tcW w:w="14898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B23A81" w:rsidRDefault="00006E61" w:rsidP="006E7F0E">
            <w:pPr>
              <w:spacing w:after="0"/>
              <w:ind w:left="11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A81">
              <w:rPr>
                <w:rFonts w:ascii="Times New Roman" w:hAnsi="Times New Roman"/>
                <w:sz w:val="28"/>
                <w:szCs w:val="28"/>
              </w:rPr>
              <w:lastRenderedPageBreak/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006E61" w:rsidRPr="00F1130C" w:rsidTr="006E7F0E">
        <w:trPr>
          <w:trHeight w:hRule="exact" w:val="1040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spacing w:after="0" w:line="240" w:lineRule="auto"/>
              <w:ind w:left="360" w:right="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издание информационного бюллетеня «Территориальная избирательная комиссия Кимрского района  2011-2016»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D340B4" w:rsidRDefault="00006E61" w:rsidP="006E7F0E">
            <w:pPr>
              <w:pStyle w:val="4"/>
              <w:keepNext w:val="0"/>
              <w:spacing w:before="0" w:after="0"/>
              <w:jc w:val="center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lang w:val="ru-RU"/>
              </w:rPr>
              <w:t>территориальная избирательная комиссия Кимрского района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май-ноябрь</w:t>
            </w:r>
          </w:p>
        </w:tc>
      </w:tr>
      <w:tr w:rsidR="00006E61" w:rsidRPr="00F1130C" w:rsidTr="006E7F0E">
        <w:trPr>
          <w:trHeight w:hRule="exact" w:val="11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137BC9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6E61" w:rsidRPr="00B23A81" w:rsidRDefault="00006E61" w:rsidP="006E7F0E">
            <w:pPr>
              <w:pStyle w:val="a5"/>
              <w:ind w:left="116" w:right="165" w:firstLine="142"/>
              <w:rPr>
                <w:b w:val="0"/>
                <w:szCs w:val="28"/>
                <w:lang w:val="ru-RU" w:eastAsia="ru-RU"/>
              </w:rPr>
            </w:pPr>
            <w:r w:rsidRPr="00B23A81">
              <w:rPr>
                <w:b w:val="0"/>
                <w:szCs w:val="28"/>
                <w:lang w:val="ru-RU" w:eastAsia="ru-RU"/>
              </w:rPr>
              <w:t>Информационная поддержка официального сайт</w:t>
            </w:r>
            <w:r>
              <w:rPr>
                <w:b w:val="0"/>
                <w:szCs w:val="28"/>
                <w:lang w:val="ru-RU" w:eastAsia="ru-RU"/>
              </w:rPr>
              <w:t>а</w:t>
            </w:r>
            <w:r w:rsidRPr="00B23A81">
              <w:rPr>
                <w:b w:val="0"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szCs w:val="28"/>
                <w:lang w:val="ru-RU" w:eastAsia="ru-RU"/>
              </w:rPr>
              <w:t xml:space="preserve">территориальной </w:t>
            </w:r>
            <w:r w:rsidRPr="00B23A81">
              <w:rPr>
                <w:b w:val="0"/>
                <w:szCs w:val="28"/>
                <w:lang w:val="ru-RU" w:eastAsia="ru-RU"/>
              </w:rPr>
              <w:t xml:space="preserve">избирательной комиссии </w:t>
            </w:r>
            <w:r>
              <w:rPr>
                <w:b w:val="0"/>
                <w:szCs w:val="28"/>
                <w:lang w:val="ru-RU" w:eastAsia="ru-RU"/>
              </w:rPr>
              <w:t>Кимрского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D340B4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340B4">
              <w:rPr>
                <w:rFonts w:ascii="Times New Roman" w:hAnsi="Times New Roman"/>
                <w:sz w:val="28"/>
                <w:szCs w:val="28"/>
              </w:rPr>
              <w:t xml:space="preserve">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Кимрского</w:t>
            </w:r>
            <w:r w:rsidRPr="00D340B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6E61" w:rsidRPr="00AF604B" w:rsidRDefault="00006E61" w:rsidP="006E7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04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</w:tbl>
    <w:p w:rsidR="00006E61" w:rsidRPr="00E822A1" w:rsidRDefault="00006E61" w:rsidP="00006E61">
      <w:pPr>
        <w:rPr>
          <w:lang w:val="en-US"/>
        </w:rPr>
      </w:pPr>
    </w:p>
    <w:p w:rsidR="00006E61" w:rsidRDefault="00006E61" w:rsidP="00006E61">
      <w:pPr>
        <w:rPr>
          <w:lang w:val="en-US"/>
        </w:rPr>
        <w:sectPr w:rsidR="00006E61" w:rsidSect="00D16F4D">
          <w:pgSz w:w="16840" w:h="11907" w:orient="landscape" w:code="9"/>
          <w:pgMar w:top="1701" w:right="1134" w:bottom="851" w:left="1134" w:header="720" w:footer="720" w:gutter="0"/>
          <w:pgNumType w:start="1"/>
          <w:cols w:space="720"/>
          <w:titlePg/>
        </w:sectPr>
      </w:pPr>
    </w:p>
    <w:tbl>
      <w:tblPr>
        <w:tblW w:w="5160" w:type="dxa"/>
        <w:tblInd w:w="4308" w:type="dxa"/>
        <w:tblLook w:val="01E0"/>
      </w:tblPr>
      <w:tblGrid>
        <w:gridCol w:w="5160"/>
      </w:tblGrid>
      <w:tr w:rsidR="00006E61" w:rsidTr="006E7F0E">
        <w:tc>
          <w:tcPr>
            <w:tcW w:w="5160" w:type="dxa"/>
          </w:tcPr>
          <w:p w:rsidR="00006E61" w:rsidRPr="007323E1" w:rsidRDefault="00006E61" w:rsidP="006E7F0E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</w:rPr>
              <w:t xml:space="preserve">Сводному </w:t>
            </w:r>
            <w:r w:rsidRPr="007323E1">
              <w:rPr>
                <w:sz w:val="28"/>
                <w:szCs w:val="28"/>
              </w:rPr>
              <w:t xml:space="preserve">плану основных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 xml:space="preserve">Кимрском районе </w:t>
            </w:r>
            <w:r w:rsidRPr="007323E1">
              <w:rPr>
                <w:sz w:val="28"/>
                <w:szCs w:val="28"/>
              </w:rPr>
              <w:t>на 2016 год</w:t>
            </w:r>
          </w:p>
        </w:tc>
      </w:tr>
    </w:tbl>
    <w:p w:rsidR="00006E61" w:rsidRPr="00D16F4D" w:rsidRDefault="00006E61" w:rsidP="00006E61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 xml:space="preserve">План обучения членов территориальной избирательной комиссии </w:t>
      </w:r>
      <w:r>
        <w:rPr>
          <w:rFonts w:ascii="Times New Roman" w:hAnsi="Times New Roman"/>
          <w:b/>
          <w:sz w:val="28"/>
          <w:szCs w:val="28"/>
        </w:rPr>
        <w:t>Кимрского</w:t>
      </w:r>
      <w:r w:rsidRPr="00D16F4D">
        <w:rPr>
          <w:rFonts w:ascii="Times New Roman" w:hAnsi="Times New Roman"/>
          <w:b/>
          <w:sz w:val="28"/>
          <w:szCs w:val="28"/>
        </w:rPr>
        <w:t xml:space="preserve"> района, участковых избирательных комиссий и резерва составов участковых комиссий </w:t>
      </w:r>
      <w:r>
        <w:rPr>
          <w:rFonts w:ascii="Times New Roman" w:hAnsi="Times New Roman"/>
          <w:b/>
          <w:sz w:val="28"/>
          <w:szCs w:val="28"/>
        </w:rPr>
        <w:t>Кимрского района</w:t>
      </w:r>
      <w:r w:rsidRPr="00D16F4D">
        <w:rPr>
          <w:rFonts w:ascii="Times New Roman" w:hAnsi="Times New Roman"/>
          <w:b/>
          <w:sz w:val="28"/>
          <w:szCs w:val="28"/>
        </w:rPr>
        <w:t xml:space="preserve">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sz w:val="28"/>
          <w:szCs w:val="28"/>
        </w:rPr>
        <w:t>План обучения включает в себя два раздела: первый раздел предусматривает обучение председателей, заместителей председателей, секретарей, членов территориальных избирательных комиссий. Второй раздел посвящен обучению кадрового состава участковых избирательных комиссий и резерва составов участковых комиссий.</w:t>
      </w:r>
    </w:p>
    <w:p w:rsidR="00006E61" w:rsidRPr="00D16F4D" w:rsidRDefault="00006E61" w:rsidP="00006E6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D16F4D">
        <w:rPr>
          <w:rFonts w:ascii="Times New Roman" w:hAnsi="Times New Roman"/>
          <w:sz w:val="28"/>
          <w:szCs w:val="28"/>
        </w:rPr>
        <w:t xml:space="preserve">заместитель председателя, секретарь, члены территориальной избирательной комиссии, 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>Формы обучения</w:t>
      </w:r>
      <w:r w:rsidRPr="00D16F4D">
        <w:rPr>
          <w:rFonts w:ascii="Times New Roman" w:hAnsi="Times New Roman"/>
          <w:sz w:val="28"/>
          <w:szCs w:val="28"/>
        </w:rPr>
        <w:t xml:space="preserve"> – очная, дистанционная, заочная, тестирование.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 xml:space="preserve">Общий объем часов: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sz w:val="28"/>
          <w:szCs w:val="28"/>
        </w:rPr>
        <w:t xml:space="preserve">20 часов – для заместителя председателя, секретаря, членов территориальной избирательной комиссии;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sz w:val="28"/>
          <w:szCs w:val="28"/>
        </w:rPr>
        <w:t>10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>Тестирование</w:t>
      </w:r>
      <w:r w:rsidRPr="00D16F4D">
        <w:rPr>
          <w:rFonts w:ascii="Times New Roman" w:hAnsi="Times New Roman"/>
          <w:sz w:val="28"/>
          <w:szCs w:val="28"/>
        </w:rPr>
        <w:t xml:space="preserve">: 1 час. </w:t>
      </w:r>
    </w:p>
    <w:p w:rsidR="00006E61" w:rsidRPr="00D16F4D" w:rsidRDefault="00006E61" w:rsidP="00006E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lastRenderedPageBreak/>
        <w:t>Типовой рабочий блокнот участковой избирательной комиссии.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D16F4D">
        <w:rPr>
          <w:rFonts w:ascii="Times New Roman" w:hAnsi="Times New Roman"/>
          <w:bCs/>
          <w:sz w:val="28"/>
          <w:szCs w:val="28"/>
        </w:rPr>
        <w:t>сс в сх</w:t>
      </w:r>
      <w:proofErr w:type="gramEnd"/>
      <w:r w:rsidRPr="00D16F4D">
        <w:rPr>
          <w:rFonts w:ascii="Times New Roman" w:hAnsi="Times New Roman"/>
          <w:bCs/>
          <w:sz w:val="28"/>
          <w:szCs w:val="28"/>
        </w:rPr>
        <w:t>емах и таблицах».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006E61" w:rsidRPr="00D16F4D" w:rsidRDefault="00006E61" w:rsidP="00006E61">
      <w:pPr>
        <w:pStyle w:val="ad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006E61" w:rsidRPr="00D16F4D" w:rsidRDefault="00006E61" w:rsidP="00006E61">
      <w:pPr>
        <w:pStyle w:val="ad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«О</w:t>
      </w:r>
      <w:r w:rsidRPr="00D16F4D">
        <w:rPr>
          <w:rStyle w:val="af"/>
          <w:b w:val="0"/>
          <w:sz w:val="28"/>
          <w:szCs w:val="28"/>
        </w:rPr>
        <w:t xml:space="preserve">сновы </w:t>
      </w:r>
      <w:proofErr w:type="spellStart"/>
      <w:r w:rsidRPr="00D16F4D">
        <w:rPr>
          <w:rStyle w:val="af"/>
          <w:b w:val="0"/>
          <w:sz w:val="28"/>
          <w:szCs w:val="28"/>
        </w:rPr>
        <w:t>конфликтологии</w:t>
      </w:r>
      <w:proofErr w:type="spellEnd"/>
      <w:r w:rsidRPr="00D16F4D">
        <w:rPr>
          <w:rStyle w:val="af"/>
          <w:b w:val="0"/>
          <w:sz w:val="28"/>
          <w:szCs w:val="28"/>
        </w:rPr>
        <w:t xml:space="preserve"> для членов участковой избирательной комиссии»</w:t>
      </w:r>
      <w:r w:rsidRPr="00D16F4D">
        <w:rPr>
          <w:b/>
          <w:sz w:val="28"/>
          <w:szCs w:val="28"/>
        </w:rPr>
        <w:t>.</w:t>
      </w:r>
    </w:p>
    <w:p w:rsidR="00006E61" w:rsidRPr="00D16F4D" w:rsidRDefault="00006E61" w:rsidP="00006E61">
      <w:pPr>
        <w:pStyle w:val="ae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 xml:space="preserve">Методическое пособие «Досрочное голосование». </w:t>
      </w:r>
    </w:p>
    <w:p w:rsidR="00006E61" w:rsidRPr="00D16F4D" w:rsidRDefault="00006E61" w:rsidP="00006E61">
      <w:pPr>
        <w:pStyle w:val="ad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006E61" w:rsidRPr="00D16F4D" w:rsidRDefault="00006E61" w:rsidP="00006E61">
      <w:pPr>
        <w:pStyle w:val="ae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006E61" w:rsidRPr="00D16F4D" w:rsidRDefault="00006E61" w:rsidP="00006E61">
      <w:pPr>
        <w:pStyle w:val="ad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t xml:space="preserve">Методическое пособие «В помощь участковым избирательным комиссиям». 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6F4D"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 w:rsidRPr="00D16F4D">
        <w:rPr>
          <w:rFonts w:ascii="Times New Roman" w:hAnsi="Times New Roman"/>
          <w:bCs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r w:rsidRPr="00D16F4D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D16F4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16F4D">
        <w:rPr>
          <w:rFonts w:ascii="Times New Roman" w:hAnsi="Times New Roman"/>
          <w:bCs/>
          <w:sz w:val="28"/>
          <w:szCs w:val="28"/>
          <w:lang w:val="en-US"/>
        </w:rPr>
        <w:t>molodayatver</w:t>
      </w:r>
      <w:proofErr w:type="spellEnd"/>
      <w:r w:rsidRPr="00D16F4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16F4D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16F4D">
        <w:rPr>
          <w:rFonts w:ascii="Times New Roman" w:hAnsi="Times New Roman"/>
          <w:bCs/>
          <w:sz w:val="28"/>
          <w:szCs w:val="28"/>
        </w:rPr>
        <w:t>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6F4D"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 w:rsidRPr="00D16F4D">
        <w:rPr>
          <w:rFonts w:ascii="Times New Roman" w:hAnsi="Times New Roman"/>
          <w:bCs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hyperlink r:id="rId5" w:history="1">
        <w:r w:rsidRPr="00D16F4D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D16F4D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D16F4D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molodayatver</w:t>
        </w:r>
        <w:proofErr w:type="spellEnd"/>
        <w:r w:rsidRPr="00D16F4D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D16F4D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16F4D">
        <w:rPr>
          <w:rFonts w:ascii="Times New Roman" w:hAnsi="Times New Roman"/>
          <w:bCs/>
          <w:sz w:val="28"/>
          <w:szCs w:val="28"/>
        </w:rPr>
        <w:t>.</w:t>
      </w:r>
    </w:p>
    <w:p w:rsidR="00006E61" w:rsidRPr="00D16F4D" w:rsidRDefault="00006E61" w:rsidP="00006E61">
      <w:pPr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6F4D">
        <w:rPr>
          <w:rFonts w:ascii="Times New Roman" w:hAnsi="Times New Roman"/>
          <w:bCs/>
          <w:sz w:val="28"/>
          <w:szCs w:val="28"/>
        </w:rPr>
        <w:lastRenderedPageBreak/>
        <w:t>Информационные бюллетени избирательной комиссии Тверской области.</w:t>
      </w:r>
    </w:p>
    <w:p w:rsidR="00006E61" w:rsidRPr="00D16F4D" w:rsidRDefault="00006E61" w:rsidP="00006E61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4D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 w:rsidRPr="00D16F4D">
        <w:rPr>
          <w:rFonts w:ascii="Times New Roman" w:hAnsi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proofErr w:type="gramStart"/>
      <w:r w:rsidRPr="00D16F4D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16F4D">
        <w:rPr>
          <w:rFonts w:ascii="Times New Roman" w:hAnsi="Times New Roman"/>
          <w:sz w:val="28"/>
          <w:szCs w:val="28"/>
        </w:rPr>
        <w:t xml:space="preserve"> и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</w:t>
      </w:r>
      <w:r w:rsidRPr="00D16F4D">
        <w:rPr>
          <w:rFonts w:ascii="Times New Roman" w:hAnsi="Times New Roman"/>
          <w:sz w:val="28"/>
          <w:szCs w:val="28"/>
        </w:rPr>
        <w:t xml:space="preserve"> комиссий </w:t>
      </w:r>
      <w:r>
        <w:rPr>
          <w:rFonts w:ascii="Times New Roman" w:hAnsi="Times New Roman"/>
          <w:sz w:val="28"/>
          <w:szCs w:val="28"/>
        </w:rPr>
        <w:t>Кимрского</w:t>
      </w:r>
      <w:r w:rsidRPr="00D16F4D">
        <w:rPr>
          <w:rFonts w:ascii="Times New Roman" w:hAnsi="Times New Roman"/>
          <w:sz w:val="28"/>
          <w:szCs w:val="28"/>
        </w:rPr>
        <w:t xml:space="preserve"> района.</w:t>
      </w:r>
    </w:p>
    <w:p w:rsidR="00006E61" w:rsidRPr="00D16F4D" w:rsidRDefault="00006E61" w:rsidP="00006E61">
      <w:pPr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006E61" w:rsidRPr="00D16F4D" w:rsidSect="008E5EFA">
          <w:headerReference w:type="default" r:id="rId6"/>
          <w:footerReference w:type="even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969"/>
        <w:gridCol w:w="1559"/>
        <w:gridCol w:w="2127"/>
        <w:gridCol w:w="1559"/>
        <w:gridCol w:w="1702"/>
        <w:gridCol w:w="2409"/>
      </w:tblGrid>
      <w:tr w:rsidR="00006E61" w:rsidRPr="00D16F4D" w:rsidTr="006E7F0E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006E61" w:rsidRPr="00960066" w:rsidRDefault="00006E61" w:rsidP="006E7F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7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40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06E61" w:rsidRPr="00D16F4D" w:rsidTr="006E7F0E">
        <w:trPr>
          <w:trHeight w:val="176"/>
          <w:tblHeader/>
        </w:trPr>
        <w:tc>
          <w:tcPr>
            <w:tcW w:w="540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06E61" w:rsidRPr="00D16F4D" w:rsidTr="006E7F0E">
        <w:trPr>
          <w:trHeight w:val="594"/>
        </w:trPr>
        <w:tc>
          <w:tcPr>
            <w:tcW w:w="15735" w:type="dxa"/>
            <w:gridSpan w:val="8"/>
            <w:vAlign w:val="center"/>
          </w:tcPr>
          <w:p w:rsidR="00006E61" w:rsidRPr="00960066" w:rsidRDefault="00006E61" w:rsidP="006E7F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spacing w:after="0"/>
              <w:ind w:left="34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>порядок и сроки дополнительного формирования резерва составов участковых комиссий;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</w:p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spacing w:after="0"/>
              <w:ind w:left="34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 w:rsidRPr="00960066">
              <w:rPr>
                <w:lang w:val="ru-RU"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960066">
              <w:rPr>
                <w:lang w:val="ru-RU" w:eastAsia="ru-RU"/>
              </w:rPr>
              <w:t xml:space="preserve"> созыва, Губернатора Тверской области, депутатов Законодательного Собрания Тверской области шестого созыва;</w:t>
            </w:r>
          </w:p>
          <w:p w:rsidR="00006E61" w:rsidRPr="00960066" w:rsidRDefault="00006E61" w:rsidP="006E7F0E">
            <w:pPr>
              <w:pStyle w:val="ab"/>
              <w:spacing w:after="0"/>
              <w:ind w:left="34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>информационно-разъяснительная деятельность комиссии в ходе подготовки выборов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tabs>
                <w:tab w:val="left" w:pos="1965"/>
              </w:tabs>
              <w:spacing w:after="0"/>
              <w:ind w:left="34"/>
              <w:rPr>
                <w:lang w:val="ru-RU" w:eastAsia="ru-RU"/>
              </w:rPr>
            </w:pPr>
            <w:r w:rsidRPr="00960066">
              <w:rPr>
                <w:lang w:val="ru-RU"/>
              </w:rPr>
              <w:t>Ф</w:t>
            </w:r>
            <w:proofErr w:type="spellStart"/>
            <w:r w:rsidRPr="00960066">
              <w:t>инансировани</w:t>
            </w:r>
            <w:r w:rsidRPr="00960066">
              <w:rPr>
                <w:lang w:val="ru-RU"/>
              </w:rPr>
              <w:t>е</w:t>
            </w:r>
            <w:proofErr w:type="spellEnd"/>
            <w:r w:rsidRPr="00960066">
              <w:t xml:space="preserve"> территориальн</w:t>
            </w:r>
            <w:r w:rsidRPr="00960066">
              <w:rPr>
                <w:lang w:val="ru-RU"/>
              </w:rPr>
              <w:t>ой</w:t>
            </w:r>
            <w:r w:rsidRPr="00960066">
              <w:t xml:space="preserve"> избирательн</w:t>
            </w:r>
            <w:r w:rsidRPr="00960066">
              <w:rPr>
                <w:lang w:val="ru-RU"/>
              </w:rPr>
              <w:t>ой</w:t>
            </w:r>
            <w:r w:rsidRPr="00960066">
              <w:t xml:space="preserve"> комисси</w:t>
            </w:r>
            <w:r w:rsidRPr="00960066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Кимрского</w:t>
            </w:r>
            <w:r w:rsidRPr="00960066">
              <w:rPr>
                <w:lang w:val="ru-RU"/>
              </w:rPr>
              <w:t xml:space="preserve"> района</w:t>
            </w:r>
            <w:r w:rsidRPr="00960066">
              <w:t xml:space="preserve"> по выборам депутатов Государственной Думы Федерального Собрания Российской Федерации </w:t>
            </w:r>
            <w:r w:rsidRPr="00960066">
              <w:rPr>
                <w:lang w:val="ru-RU"/>
              </w:rPr>
              <w:t>седьмого</w:t>
            </w:r>
            <w:r w:rsidRPr="00960066">
              <w:t xml:space="preserve"> созыва</w:t>
            </w:r>
            <w:r w:rsidRPr="00960066">
              <w:rPr>
                <w:lang w:val="ru-RU"/>
              </w:rPr>
              <w:t xml:space="preserve">, </w:t>
            </w:r>
            <w:r w:rsidRPr="00960066">
              <w:rPr>
                <w:lang w:val="ru-RU" w:eastAsia="ru-RU"/>
              </w:rPr>
              <w:t>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КРС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spacing w:after="0"/>
              <w:ind w:left="34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 xml:space="preserve">работа КРС при подготовке </w:t>
            </w:r>
            <w:proofErr w:type="gramStart"/>
            <w:r w:rsidRPr="00960066">
              <w:rPr>
                <w:lang w:val="ru-RU"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960066">
              <w:rPr>
                <w:lang w:val="ru-RU" w:eastAsia="ru-RU"/>
              </w:rPr>
              <w:t xml:space="preserve"> созыва, 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КРС </w:t>
            </w:r>
            <w:proofErr w:type="gramStart"/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ТИК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spacing w:after="0"/>
              <w:ind w:left="0"/>
            </w:pPr>
            <w:r w:rsidRPr="00960066">
              <w:rPr>
                <w:lang w:val="ru-RU" w:eastAsia="ru-RU"/>
              </w:rPr>
              <w:t xml:space="preserve">работа со списками избирателей; предвыборная агитация; </w:t>
            </w:r>
          </w:p>
          <w:p w:rsidR="00006E61" w:rsidRPr="00960066" w:rsidRDefault="00006E61" w:rsidP="006E7F0E">
            <w:pPr>
              <w:pStyle w:val="ab"/>
              <w:spacing w:after="0"/>
              <w:ind w:left="0"/>
              <w:rPr>
                <w:lang w:eastAsia="ru-RU"/>
              </w:rPr>
            </w:pP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066">
              <w:rPr>
                <w:rFonts w:ascii="Times New Roman" w:hAnsi="Times New Roman"/>
                <w:bCs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</w:rPr>
              <w:t>Кимрского</w:t>
            </w:r>
            <w:r w:rsidRPr="00960066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066">
              <w:rPr>
                <w:rFonts w:ascii="Times New Roman" w:hAnsi="Times New Roman"/>
                <w:bCs/>
              </w:rPr>
              <w:t>территориальная</w:t>
            </w:r>
          </w:p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</w:rPr>
              <w:t>Кимрского</w:t>
            </w:r>
            <w:r w:rsidRPr="00960066">
              <w:rPr>
                <w:rFonts w:ascii="Times New Roman" w:hAnsi="Times New Roman"/>
                <w:bCs/>
              </w:rPr>
              <w:t xml:space="preserve"> района</w:t>
            </w:r>
          </w:p>
        </w:tc>
      </w:tr>
      <w:tr w:rsidR="00006E61" w:rsidRPr="00D16F4D" w:rsidTr="006E7F0E">
        <w:trPr>
          <w:trHeight w:val="2104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spacing w:after="0"/>
              <w:ind w:left="0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>работа с открепительными удостоверениями</w:t>
            </w:r>
          </w:p>
          <w:p w:rsidR="00006E61" w:rsidRPr="00960066" w:rsidRDefault="00006E61" w:rsidP="006E7F0E">
            <w:pPr>
              <w:pStyle w:val="ab"/>
              <w:spacing w:after="0"/>
              <w:ind w:left="0"/>
              <w:rPr>
                <w:lang w:val="ru-RU" w:eastAsia="ru-RU"/>
              </w:rPr>
            </w:pPr>
            <w:r w:rsidRPr="00960066">
              <w:t xml:space="preserve">Порядок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Федерации. 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393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006E61" w:rsidRPr="00960066" w:rsidRDefault="00006E61" w:rsidP="006E7F0E">
            <w:pPr>
              <w:pStyle w:val="ab"/>
              <w:spacing w:after="0"/>
              <w:ind w:left="0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>порядок подсчета голосов, подведение итогов выборов</w:t>
            </w:r>
          </w:p>
          <w:p w:rsidR="00006E61" w:rsidRPr="00960066" w:rsidRDefault="00006E61" w:rsidP="006E7F0E">
            <w:pPr>
              <w:pStyle w:val="ab"/>
              <w:spacing w:after="0"/>
              <w:ind w:left="0"/>
              <w:rPr>
                <w:lang w:val="ru-RU" w:eastAsia="ru-RU"/>
              </w:rPr>
            </w:pPr>
            <w:r w:rsidRPr="00960066">
              <w:rPr>
                <w:lang w:val="ru-RU"/>
              </w:rPr>
              <w:t>о</w:t>
            </w:r>
            <w:proofErr w:type="spellStart"/>
            <w:r w:rsidRPr="00960066">
              <w:t>рганизация</w:t>
            </w:r>
            <w:proofErr w:type="spellEnd"/>
            <w:r w:rsidRPr="00960066">
              <w:t xml:space="preserve"> работы </w:t>
            </w:r>
            <w:r w:rsidRPr="00960066">
              <w:rPr>
                <w:lang w:val="ru-RU"/>
              </w:rPr>
              <w:t>ТИК</w:t>
            </w:r>
            <w:r w:rsidRPr="00960066">
              <w:t xml:space="preserve"> по приему протоколов и иной избирательной </w:t>
            </w:r>
            <w:r w:rsidRPr="00960066">
              <w:lastRenderedPageBreak/>
              <w:t>документации участковых избирательных комиссий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1127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1239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pStyle w:val="ab"/>
              <w:spacing w:after="0"/>
              <w:ind w:left="0"/>
              <w:rPr>
                <w:lang w:val="ru-RU" w:eastAsia="ru-RU"/>
              </w:rPr>
            </w:pPr>
            <w:r w:rsidRPr="00960066">
              <w:rPr>
                <w:lang w:val="ru-RU" w:eastAsia="ru-RU"/>
              </w:rPr>
              <w:t>итоги избирательных кампаний</w:t>
            </w:r>
            <w:r w:rsidRPr="00960066">
              <w:rPr>
                <w:lang w:val="ru-RU" w:eastAsia="ru-RU"/>
              </w:rPr>
              <w:br/>
              <w:t xml:space="preserve"> 18 сентября 2016 года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468"/>
        </w:trPr>
        <w:tc>
          <w:tcPr>
            <w:tcW w:w="15735" w:type="dxa"/>
            <w:gridSpan w:val="8"/>
            <w:vAlign w:val="center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006E61" w:rsidRPr="00D16F4D" w:rsidTr="006E7F0E">
        <w:trPr>
          <w:trHeight w:val="712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 УИК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Работа УИК накануне дня голосования. Подсчет голосов избирателей и составление протокола об итогах голосования.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gramEnd"/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066">
              <w:rPr>
                <w:rFonts w:ascii="Times New Roman" w:hAnsi="Times New Roman"/>
                <w:bCs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</w:rPr>
              <w:t>Кимрского</w:t>
            </w:r>
            <w:r w:rsidRPr="00960066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066">
              <w:rPr>
                <w:rFonts w:ascii="Times New Roman" w:hAnsi="Times New Roman"/>
                <w:bCs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</w:rPr>
              <w:t>Кимрского</w:t>
            </w:r>
            <w:r w:rsidRPr="00960066">
              <w:rPr>
                <w:rFonts w:ascii="Times New Roman" w:hAnsi="Times New Roman"/>
                <w:bCs/>
              </w:rPr>
              <w:t xml:space="preserve"> района</w:t>
            </w:r>
          </w:p>
        </w:tc>
      </w:tr>
      <w:tr w:rsidR="00006E61" w:rsidRPr="00D16F4D" w:rsidTr="006E7F0E">
        <w:trPr>
          <w:trHeight w:val="712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организационная работа участковой комиссии: делопроизводство в УИК, составление номенклатуры дел УИК по выборам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организация и проведение первого после назначения выборов заседания УИК,</w:t>
            </w:r>
          </w:p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гражданско-правовых договоров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 и дистанционная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работа, лекция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2227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- уточнение списков избирателей;</w:t>
            </w:r>
          </w:p>
          <w:p w:rsidR="00006E61" w:rsidRPr="00960066" w:rsidRDefault="00006E61" w:rsidP="006E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порядок проведения досрочного голосования;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порядок работы с открепительными удостоверениями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 и дистанционная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лекция, </w:t>
            </w:r>
            <w:proofErr w:type="gramStart"/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  <w:proofErr w:type="gramEnd"/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 и или дистанционная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437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органами; порядок удаления </w:t>
            </w:r>
            <w:r w:rsidRPr="00960066">
              <w:rPr>
                <w:rFonts w:ascii="Times New Roman" w:hAnsi="Times New Roman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960066"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 и дистанционная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лекция, практические занятия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cantSplit/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 и или дистанционная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006E61" w:rsidRPr="00D16F4D" w:rsidTr="006E7F0E">
        <w:trPr>
          <w:trHeight w:val="300"/>
        </w:trPr>
        <w:tc>
          <w:tcPr>
            <w:tcW w:w="540" w:type="dxa"/>
          </w:tcPr>
          <w:p w:rsidR="00006E61" w:rsidRPr="00960066" w:rsidRDefault="00006E61" w:rsidP="00006E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969" w:type="dxa"/>
          </w:tcPr>
          <w:p w:rsidR="00006E61" w:rsidRPr="00960066" w:rsidRDefault="00006E61" w:rsidP="006E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</w:tcPr>
          <w:p w:rsidR="00006E61" w:rsidRPr="00960066" w:rsidRDefault="00006E61" w:rsidP="006E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9600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EF6751" w:rsidRDefault="00EF6751"/>
    <w:sectPr w:rsidR="00EF6751" w:rsidSect="00006E61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4D" w:rsidRDefault="00006E61" w:rsidP="008E5EF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D16F4D" w:rsidRDefault="00006E61" w:rsidP="008E5EFA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4D" w:rsidRDefault="00006E61" w:rsidP="00D16F4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16F4D" w:rsidRDefault="00006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E61"/>
    <w:rsid w:val="00006E61"/>
    <w:rsid w:val="00452E35"/>
    <w:rsid w:val="00645D4B"/>
    <w:rsid w:val="00855253"/>
    <w:rsid w:val="00BC622B"/>
    <w:rsid w:val="00C06E46"/>
    <w:rsid w:val="00E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06E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006E6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006E6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E6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006E61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006E6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3">
    <w:name w:val="footer"/>
    <w:basedOn w:val="a"/>
    <w:link w:val="a4"/>
    <w:uiPriority w:val="99"/>
    <w:rsid w:val="00006E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06E61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ody Text"/>
    <w:basedOn w:val="a"/>
    <w:link w:val="a6"/>
    <w:rsid w:val="00006E6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006E6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7">
    <w:name w:val="header"/>
    <w:basedOn w:val="a"/>
    <w:link w:val="a8"/>
    <w:uiPriority w:val="99"/>
    <w:rsid w:val="00006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006E61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rsid w:val="00006E61"/>
  </w:style>
  <w:style w:type="character" w:styleId="aa">
    <w:name w:val="Hyperlink"/>
    <w:rsid w:val="00006E61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006E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rsid w:val="00006E6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006E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2">
    <w:name w:val="Style2"/>
    <w:basedOn w:val="a"/>
    <w:rsid w:val="00006E61"/>
    <w:pPr>
      <w:widowControl w:val="0"/>
      <w:autoSpaceDE w:val="0"/>
      <w:autoSpaceDN w:val="0"/>
      <w:adjustRightInd w:val="0"/>
      <w:spacing w:after="0" w:line="47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006E61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006E61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06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006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olodaya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2955</Words>
  <Characters>16845</Characters>
  <Application>Microsoft Office Word</Application>
  <DocSecurity>0</DocSecurity>
  <Lines>140</Lines>
  <Paragraphs>39</Paragraphs>
  <ScaleCrop>false</ScaleCrop>
  <Company>Home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2016-03-23T13:18:00Z</dcterms:created>
  <dcterms:modified xsi:type="dcterms:W3CDTF">2016-03-23T13:19:00Z</dcterms:modified>
</cp:coreProperties>
</file>